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ZMLUVA  O NÁJME BYTU</w:t>
      </w:r>
      <w:r w:rsidR="00BD1C0F">
        <w:rPr>
          <w:rFonts w:ascii="Calibri" w:eastAsia="Calibri" w:hAnsi="Calibri" w:cs="Calibri"/>
          <w:b/>
          <w:sz w:val="21"/>
        </w:rPr>
        <w:t xml:space="preserve"> </w:t>
      </w:r>
    </w:p>
    <w:p w:rsidR="001318C3" w:rsidRDefault="00F15D79">
      <w:pPr>
        <w:widowControl w:val="0"/>
        <w:spacing w:after="0" w:line="280"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1318C3" w:rsidRDefault="001318C3">
      <w:pPr>
        <w:widowControl w:val="0"/>
        <w:spacing w:after="0" w:line="280" w:lineRule="auto"/>
        <w:ind w:left="360" w:right="340"/>
        <w:jc w:val="center"/>
        <w:rPr>
          <w:rFonts w:ascii="Calibri" w:eastAsia="Calibri" w:hAnsi="Calibri" w:cs="Calibri"/>
          <w:color w:val="000000"/>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Zmluvné strany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 xml:space="preserve">Obec </w:t>
      </w:r>
      <w:r w:rsidR="00071A07">
        <w:rPr>
          <w:rFonts w:ascii="Calibri" w:eastAsia="Calibri" w:hAnsi="Calibri" w:cs="Calibri"/>
          <w:b/>
          <w:sz w:val="21"/>
        </w:rPr>
        <w:t>Lúč na Ostrove</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855E03" w:rsidRDefault="00F15D79">
      <w:pPr>
        <w:keepNext/>
        <w:widowControl w:val="0"/>
        <w:spacing w:after="0" w:line="280" w:lineRule="auto"/>
        <w:jc w:val="both"/>
        <w:rPr>
          <w:rFonts w:ascii="Calibri" w:eastAsia="Calibri" w:hAnsi="Calibri" w:cs="Calibri"/>
          <w:sz w:val="21"/>
        </w:rPr>
      </w:pPr>
      <w:r>
        <w:rPr>
          <w:rFonts w:ascii="Calibri" w:eastAsia="Calibri" w:hAnsi="Calibri" w:cs="Calibri"/>
          <w:sz w:val="21"/>
        </w:rPr>
        <w:t xml:space="preserve">Bankové spojenie: </w:t>
      </w:r>
      <w:r>
        <w:rPr>
          <w:rFonts w:ascii="Calibri" w:eastAsia="Calibri" w:hAnsi="Calibri" w:cs="Calibri"/>
          <w:sz w:val="21"/>
        </w:rPr>
        <w:tab/>
      </w:r>
      <w:r>
        <w:rPr>
          <w:rFonts w:ascii="Calibri" w:eastAsia="Calibri" w:hAnsi="Calibri" w:cs="Calibri"/>
          <w:sz w:val="21"/>
        </w:rPr>
        <w:tab/>
      </w:r>
    </w:p>
    <w:p w:rsidR="001318C3" w:rsidRDefault="00F15D79">
      <w:pPr>
        <w:keepNext/>
        <w:widowControl w:val="0"/>
        <w:spacing w:after="0" w:line="280"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1318C3" w:rsidRDefault="001318C3">
      <w:pPr>
        <w:keepNext/>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a</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071A07" w:rsidRPr="00071A07" w:rsidRDefault="00F15D79">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r>
      <w:r w:rsidR="00071A07">
        <w:rPr>
          <w:rFonts w:ascii="Calibri" w:eastAsia="Calibri" w:hAnsi="Calibri" w:cs="Calibri"/>
          <w:b/>
          <w:sz w:val="21"/>
        </w:rPr>
        <w:t xml:space="preserve">     </w:t>
      </w:r>
      <w:r w:rsidR="00071A07">
        <w:rPr>
          <w:rFonts w:ascii="Calibri" w:eastAsia="Calibri" w:hAnsi="Calibri" w:cs="Calibri"/>
          <w:b/>
          <w:sz w:val="21"/>
        </w:rPr>
        <w:tab/>
      </w:r>
      <w:proofErr w:type="spellStart"/>
      <w:r w:rsidR="00D907B6">
        <w:rPr>
          <w:rFonts w:ascii="Calibri" w:eastAsia="Calibri" w:hAnsi="Calibri" w:cs="Calibri"/>
          <w:b/>
          <w:sz w:val="21"/>
        </w:rPr>
        <w:t>Lóránt</w:t>
      </w:r>
      <w:proofErr w:type="spellEnd"/>
      <w:r w:rsidR="00D907B6">
        <w:rPr>
          <w:rFonts w:ascii="Calibri" w:eastAsia="Calibri" w:hAnsi="Calibri" w:cs="Calibri"/>
          <w:b/>
          <w:sz w:val="21"/>
        </w:rPr>
        <w:t xml:space="preserve"> </w:t>
      </w:r>
      <w:proofErr w:type="spellStart"/>
      <w:r w:rsidR="00D907B6">
        <w:rPr>
          <w:rFonts w:ascii="Calibri" w:eastAsia="Calibri" w:hAnsi="Calibri" w:cs="Calibri"/>
          <w:b/>
          <w:sz w:val="21"/>
        </w:rPr>
        <w:t>Androvics</w:t>
      </w:r>
      <w:proofErr w:type="spellEnd"/>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sidR="00071A07">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r>
      <w:r w:rsidR="00071A07">
        <w:rPr>
          <w:rFonts w:ascii="Calibri" w:eastAsia="Calibri" w:hAnsi="Calibri" w:cs="Calibri"/>
          <w:sz w:val="21"/>
        </w:rPr>
        <w:t xml:space="preserve">            </w:t>
      </w:r>
      <w:r w:rsidR="00071A07">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t xml:space="preserve">             </w:t>
      </w:r>
      <w:r w:rsidR="00071A07">
        <w:rPr>
          <w:rFonts w:ascii="Calibri" w:eastAsia="Calibri" w:hAnsi="Calibri" w:cs="Calibri"/>
          <w:sz w:val="21"/>
        </w:rPr>
        <w:t xml:space="preserve">  </w:t>
      </w:r>
    </w:p>
    <w:p w:rsidR="00FE2EF2" w:rsidRDefault="00FE2EF2" w:rsidP="00FE2EF2">
      <w:pPr>
        <w:widowControl w:val="0"/>
        <w:spacing w:after="0" w:line="280" w:lineRule="auto"/>
        <w:jc w:val="both"/>
        <w:rPr>
          <w:rFonts w:ascii="Calibri" w:eastAsia="Calibri" w:hAnsi="Calibri" w:cs="Calibri"/>
          <w:sz w:val="21"/>
        </w:rPr>
      </w:pP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a</w:t>
      </w:r>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Meno a priezvisko :</w:t>
      </w:r>
      <w:r>
        <w:rPr>
          <w:rFonts w:ascii="Calibri" w:eastAsia="Calibri" w:hAnsi="Calibri" w:cs="Calibri"/>
          <w:sz w:val="21"/>
        </w:rPr>
        <w:tab/>
      </w:r>
      <w:r>
        <w:rPr>
          <w:rFonts w:ascii="Calibri" w:eastAsia="Calibri" w:hAnsi="Calibri" w:cs="Calibri"/>
          <w:sz w:val="21"/>
        </w:rPr>
        <w:tab/>
      </w:r>
      <w:r w:rsidR="00D907B6">
        <w:rPr>
          <w:rFonts w:ascii="Calibri" w:eastAsia="Calibri" w:hAnsi="Calibri" w:cs="Calibri"/>
          <w:b/>
          <w:sz w:val="21"/>
        </w:rPr>
        <w:t xml:space="preserve">Silvia </w:t>
      </w:r>
      <w:proofErr w:type="spellStart"/>
      <w:r w:rsidR="00D907B6">
        <w:rPr>
          <w:rFonts w:ascii="Calibri" w:eastAsia="Calibri" w:hAnsi="Calibri" w:cs="Calibri"/>
          <w:b/>
          <w:sz w:val="21"/>
        </w:rPr>
        <w:t>Androvicsová</w:t>
      </w:r>
      <w:proofErr w:type="spellEnd"/>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Trvalé bydlisko: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Rodné číslo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FE2EF2" w:rsidRDefault="00FE2EF2">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Úvodné ustanovenia </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1"/>
        </w:numPr>
        <w:spacing w:after="0" w:line="280"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w:t>
      </w:r>
      <w:r w:rsidR="00071A07">
        <w:rPr>
          <w:rFonts w:ascii="Calibri" w:eastAsia="Calibri" w:hAnsi="Calibri" w:cs="Calibri"/>
          <w:sz w:val="21"/>
        </w:rPr>
        <w:t>Malá</w:t>
      </w:r>
      <w:r>
        <w:rPr>
          <w:rFonts w:ascii="Calibri" w:eastAsia="Calibri" w:hAnsi="Calibri" w:cs="Calibri"/>
          <w:sz w:val="21"/>
        </w:rPr>
        <w:t xml:space="preserve"> </w:t>
      </w:r>
      <w:r w:rsidR="00071A07">
        <w:rPr>
          <w:rFonts w:ascii="Calibri" w:eastAsia="Calibri" w:hAnsi="Calibri" w:cs="Calibri"/>
          <w:sz w:val="21"/>
        </w:rPr>
        <w:t>Lúč,</w:t>
      </w:r>
      <w:r>
        <w:rPr>
          <w:rFonts w:ascii="Calibri" w:eastAsia="Calibri" w:hAnsi="Calibri" w:cs="Calibri"/>
          <w:sz w:val="21"/>
        </w:rPr>
        <w:t xml:space="preserve"> obec </w:t>
      </w:r>
      <w:r w:rsidR="00071A07">
        <w:rPr>
          <w:rFonts w:ascii="Calibri" w:eastAsia="Calibri" w:hAnsi="Calibri" w:cs="Calibri"/>
          <w:sz w:val="21"/>
        </w:rPr>
        <w:t>Lúč na Ostrove</w:t>
      </w:r>
      <w:r>
        <w:rPr>
          <w:rFonts w:ascii="Calibri" w:eastAsia="Calibri" w:hAnsi="Calibri" w:cs="Calibri"/>
          <w:sz w:val="21"/>
        </w:rPr>
        <w:t xml:space="preserve">, okres Dunajská Streda,  stavby - bytový dom so súpisným číslom </w:t>
      </w:r>
      <w:r w:rsidR="00071A07">
        <w:rPr>
          <w:rFonts w:ascii="Calibri" w:eastAsia="Calibri" w:hAnsi="Calibri" w:cs="Calibri"/>
          <w:sz w:val="21"/>
        </w:rPr>
        <w:t>119</w:t>
      </w:r>
      <w:r>
        <w:rPr>
          <w:rFonts w:ascii="Calibri" w:eastAsia="Calibri" w:hAnsi="Calibri" w:cs="Calibri"/>
          <w:sz w:val="21"/>
        </w:rPr>
        <w:t xml:space="preserve">, postavenej na parcele registra “C“, číslo parcely </w:t>
      </w:r>
      <w:r w:rsidR="002430CF">
        <w:rPr>
          <w:rFonts w:ascii="Calibri" w:eastAsia="Calibri" w:hAnsi="Calibri" w:cs="Calibri"/>
          <w:sz w:val="21"/>
        </w:rPr>
        <w:t>18/12</w:t>
      </w:r>
      <w:r>
        <w:rPr>
          <w:rFonts w:ascii="Calibri" w:eastAsia="Calibri" w:hAnsi="Calibri" w:cs="Calibri"/>
          <w:sz w:val="21"/>
        </w:rPr>
        <w:t xml:space="preserve"> - zastavané plochy a nádvoria o výmere </w:t>
      </w:r>
      <w:r w:rsidR="002430CF">
        <w:rPr>
          <w:rFonts w:ascii="Calibri" w:eastAsia="Calibri" w:hAnsi="Calibri" w:cs="Calibri"/>
          <w:sz w:val="21"/>
        </w:rPr>
        <w:t>441</w:t>
      </w:r>
      <w:r>
        <w:rPr>
          <w:rFonts w:ascii="Calibri" w:eastAsia="Calibri" w:hAnsi="Calibri" w:cs="Calibri"/>
          <w:sz w:val="21"/>
        </w:rPr>
        <w:t xml:space="preserve"> m² (ďalej ako „bytový dom“). </w:t>
      </w:r>
    </w:p>
    <w:p w:rsidR="001318C3" w:rsidRDefault="001318C3">
      <w:pPr>
        <w:widowControl w:val="0"/>
        <w:spacing w:after="0" w:line="280" w:lineRule="auto"/>
        <w:ind w:left="360"/>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Článok III.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Predmet a účel nájmu</w:t>
      </w:r>
    </w:p>
    <w:p w:rsidR="001318C3" w:rsidRDefault="001318C3">
      <w:pPr>
        <w:widowControl w:val="0"/>
        <w:spacing w:after="0" w:line="280" w:lineRule="auto"/>
        <w:jc w:val="both"/>
        <w:rPr>
          <w:rFonts w:ascii="Calibri" w:eastAsia="Calibri" w:hAnsi="Calibri" w:cs="Calibri"/>
          <w:b/>
          <w:sz w:val="21"/>
        </w:rPr>
      </w:pPr>
    </w:p>
    <w:p w:rsidR="001318C3" w:rsidRDefault="001318C3">
      <w:pPr>
        <w:widowControl w:val="0"/>
        <w:tabs>
          <w:tab w:val="left" w:pos="8100"/>
          <w:tab w:val="left" w:pos="8460"/>
        </w:tabs>
        <w:spacing w:after="0" w:line="280" w:lineRule="auto"/>
        <w:ind w:right="23"/>
        <w:jc w:val="both"/>
        <w:rPr>
          <w:rFonts w:ascii="Calibri" w:eastAsia="Calibri" w:hAnsi="Calibri" w:cs="Calibri"/>
          <w:sz w:val="21"/>
        </w:rPr>
      </w:pPr>
    </w:p>
    <w:p w:rsidR="001318C3" w:rsidRDefault="00F15D79">
      <w:pPr>
        <w:widowControl w:val="0"/>
        <w:numPr>
          <w:ilvl w:val="0"/>
          <w:numId w:val="2"/>
        </w:numPr>
        <w:tabs>
          <w:tab w:val="left" w:pos="8100"/>
          <w:tab w:val="left" w:pos="8460"/>
        </w:tabs>
        <w:spacing w:after="0" w:line="280"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w:t>
      </w:r>
      <w:r>
        <w:rPr>
          <w:rFonts w:ascii="Calibri" w:eastAsia="Calibri" w:hAnsi="Calibri" w:cs="Calibri"/>
          <w:sz w:val="21"/>
        </w:rPr>
        <w:lastRenderedPageBreak/>
        <w:t>užívanie byt č</w:t>
      </w:r>
      <w:r w:rsidRPr="002D38B1">
        <w:rPr>
          <w:rFonts w:ascii="Calibri" w:eastAsia="Calibri" w:hAnsi="Calibri" w:cs="Calibri"/>
          <w:i/>
          <w:sz w:val="21"/>
        </w:rPr>
        <w:t xml:space="preserve">. </w:t>
      </w:r>
      <w:r w:rsidR="002D38B1">
        <w:rPr>
          <w:rFonts w:ascii="Calibri" w:eastAsia="Calibri" w:hAnsi="Calibri" w:cs="Calibri"/>
          <w:i/>
          <w:sz w:val="21"/>
        </w:rPr>
        <w:t>1</w:t>
      </w:r>
      <w:r>
        <w:rPr>
          <w:rFonts w:ascii="Calibri" w:eastAsia="Calibri" w:hAnsi="Calibri" w:cs="Calibri"/>
          <w:sz w:val="21"/>
        </w:rPr>
        <w:t xml:space="preserve">, nachádzajúci sa na </w:t>
      </w:r>
      <w:r w:rsidR="002430CF">
        <w:rPr>
          <w:rFonts w:ascii="Calibri" w:eastAsia="Calibri" w:hAnsi="Calibri" w:cs="Calibri"/>
          <w:sz w:val="21"/>
        </w:rPr>
        <w:t xml:space="preserve">prízemí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1318C3" w:rsidRDefault="00F15D79">
      <w:pPr>
        <w:widowControl w:val="0"/>
        <w:numPr>
          <w:ilvl w:val="0"/>
          <w:numId w:val="2"/>
        </w:numPr>
        <w:tabs>
          <w:tab w:val="left" w:pos="420"/>
        </w:tabs>
        <w:spacing w:after="0" w:line="280" w:lineRule="auto"/>
        <w:ind w:left="420" w:hanging="360"/>
        <w:rPr>
          <w:rFonts w:ascii="Calibri" w:eastAsia="Calibri" w:hAnsi="Calibri" w:cs="Calibri"/>
          <w:sz w:val="21"/>
        </w:rPr>
      </w:pPr>
      <w:r>
        <w:rPr>
          <w:rFonts w:ascii="Calibri" w:eastAsia="Calibri" w:hAnsi="Calibri" w:cs="Calibri"/>
          <w:sz w:val="21"/>
        </w:rPr>
        <w:t xml:space="preserve">Celková  podlahová  plocha  bytu je  </w:t>
      </w:r>
      <w:r w:rsidR="00FE2EF2">
        <w:rPr>
          <w:rFonts w:ascii="Calibri" w:eastAsia="Calibri" w:hAnsi="Calibri" w:cs="Calibri"/>
          <w:sz w:val="21"/>
        </w:rPr>
        <w:t>58,36</w:t>
      </w:r>
      <w:r>
        <w:rPr>
          <w:rFonts w:ascii="Calibri" w:eastAsia="Calibri" w:hAnsi="Calibri" w:cs="Calibri"/>
          <w:sz w:val="21"/>
        </w:rPr>
        <w:t xml:space="preserve"> m2.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Byt pozostáva z </w:t>
      </w:r>
      <w:r w:rsidR="00FE2EF2">
        <w:rPr>
          <w:rFonts w:ascii="Calibri" w:eastAsia="Calibri" w:hAnsi="Calibri" w:cs="Calibri"/>
          <w:sz w:val="21"/>
        </w:rPr>
        <w:t>3</w:t>
      </w:r>
      <w:r>
        <w:rPr>
          <w:rFonts w:ascii="Calibri" w:eastAsia="Calibri" w:hAnsi="Calibri" w:cs="Calibri"/>
          <w:sz w:val="21"/>
        </w:rPr>
        <w:t xml:space="preserve"> obytnej miestnosti a z príslušenstva, ktorým je predsieň, kúpeľňa</w:t>
      </w:r>
      <w:r w:rsidR="002430CF">
        <w:rPr>
          <w:rFonts w:ascii="Calibri" w:eastAsia="Calibri" w:hAnsi="Calibri" w:cs="Calibri"/>
          <w:sz w:val="21"/>
        </w:rPr>
        <w:t xml:space="preserve"> s </w:t>
      </w:r>
      <w:r>
        <w:rPr>
          <w:rFonts w:ascii="Calibri" w:eastAsia="Calibri" w:hAnsi="Calibri" w:cs="Calibri"/>
          <w:sz w:val="21"/>
        </w:rPr>
        <w:t xml:space="preserve"> WC, </w:t>
      </w:r>
      <w:r w:rsidR="002430CF">
        <w:rPr>
          <w:rFonts w:ascii="Calibri" w:eastAsia="Calibri" w:hAnsi="Calibri" w:cs="Calibri"/>
          <w:sz w:val="21"/>
        </w:rPr>
        <w:t>kuchyňa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ako aj požívať plnenia, ktorých poskytovanie je spojené s užívaním bytu.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F63DD5" w:rsidRDefault="00F63DD5">
      <w:pPr>
        <w:widowControl w:val="0"/>
        <w:numPr>
          <w:ilvl w:val="0"/>
          <w:numId w:val="2"/>
        </w:numPr>
        <w:tabs>
          <w:tab w:val="left" w:pos="2340"/>
          <w:tab w:val="left" w:pos="9000"/>
        </w:tabs>
        <w:spacing w:after="0" w:line="280" w:lineRule="auto"/>
        <w:ind w:left="420" w:right="72" w:hanging="360"/>
        <w:jc w:val="both"/>
        <w:rPr>
          <w:rFonts w:ascii="Calibri" w:eastAsia="Calibri" w:hAnsi="Calibri" w:cs="Calibri"/>
          <w:color w:val="000000"/>
          <w:sz w:val="21"/>
        </w:rPr>
      </w:pPr>
    </w:p>
    <w:p w:rsidR="001318C3" w:rsidRDefault="00F15D79">
      <w:pPr>
        <w:widowControl w:val="0"/>
        <w:numPr>
          <w:ilvl w:val="0"/>
          <w:numId w:val="2"/>
        </w:numPr>
        <w:tabs>
          <w:tab w:val="left" w:pos="2340"/>
          <w:tab w:val="left" w:pos="9000"/>
        </w:tabs>
        <w:spacing w:after="0" w:line="280"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Doba nájmu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BD1C0F">
        <w:rPr>
          <w:rFonts w:ascii="Calibri" w:eastAsia="Calibri" w:hAnsi="Calibri" w:cs="Calibri"/>
          <w:b/>
          <w:sz w:val="21"/>
        </w:rPr>
        <w:t>31.12</w:t>
      </w:r>
      <w:r w:rsidR="00897F26">
        <w:rPr>
          <w:rFonts w:ascii="Calibri" w:eastAsia="Calibri" w:hAnsi="Calibri" w:cs="Calibri"/>
          <w:b/>
          <w:sz w:val="21"/>
        </w:rPr>
        <w:t>.202</w:t>
      </w:r>
      <w:r w:rsidR="00F63DD5">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6A45CB">
        <w:rPr>
          <w:rFonts w:ascii="Calibri" w:eastAsia="Calibri" w:hAnsi="Calibri" w:cs="Calibri"/>
          <w:b/>
          <w:sz w:val="21"/>
        </w:rPr>
        <w:t>31.12</w:t>
      </w:r>
      <w:r w:rsidR="002430CF">
        <w:rPr>
          <w:rFonts w:ascii="Calibri" w:eastAsia="Calibri" w:hAnsi="Calibri" w:cs="Calibri"/>
          <w:b/>
          <w:sz w:val="21"/>
        </w:rPr>
        <w:t>.20</w:t>
      </w:r>
      <w:r w:rsidR="00897F26">
        <w:rPr>
          <w:rFonts w:ascii="Calibri" w:eastAsia="Calibri" w:hAnsi="Calibri" w:cs="Calibri"/>
          <w:b/>
          <w:sz w:val="21"/>
        </w:rPr>
        <w:t>2</w:t>
      </w:r>
      <w:r w:rsidR="00F63DD5">
        <w:rPr>
          <w:rFonts w:ascii="Calibri" w:eastAsia="Calibri" w:hAnsi="Calibri" w:cs="Calibri"/>
          <w:b/>
          <w:sz w:val="21"/>
        </w:rPr>
        <w:t>5</w:t>
      </w:r>
      <w:r w:rsidR="002430CF">
        <w:rPr>
          <w:rFonts w:ascii="Calibri" w:eastAsia="Calibri" w:hAnsi="Calibri" w:cs="Calibri"/>
          <w:b/>
          <w:sz w:val="21"/>
        </w:rPr>
        <w:t>.</w:t>
      </w: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požiadať najmenej 60 dní pred ukončením nájmu bytu a to doručením písomnej žiadosti na</w:t>
      </w:r>
      <w:r w:rsidR="006A45CB">
        <w:rPr>
          <w:rFonts w:ascii="Calibri" w:eastAsia="Calibri" w:hAnsi="Calibri" w:cs="Calibri"/>
          <w:color w:val="000000"/>
          <w:sz w:val="21"/>
        </w:rPr>
        <w:t xml:space="preserve"> Obecný úrad v obci Lúč na Ostrove</w:t>
      </w:r>
      <w:r>
        <w:rPr>
          <w:rFonts w:ascii="Calibri" w:eastAsia="Calibri" w:hAnsi="Calibri" w:cs="Calibri"/>
          <w:color w:val="000000"/>
          <w:sz w:val="21"/>
        </w:rPr>
        <w:t xml:space="preser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  Článok 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F63DD5">
        <w:rPr>
          <w:rFonts w:ascii="Calibri" w:eastAsia="Calibri" w:hAnsi="Calibri" w:cs="Calibri"/>
          <w:b/>
          <w:color w:val="000000"/>
          <w:sz w:val="21"/>
        </w:rPr>
        <w:t>197</w:t>
      </w:r>
      <w:r w:rsidR="00196600">
        <w:rPr>
          <w:rFonts w:ascii="Calibri" w:eastAsia="Calibri" w:hAnsi="Calibri" w:cs="Calibri"/>
          <w:b/>
          <w:color w:val="000000"/>
          <w:sz w:val="21"/>
        </w:rPr>
        <w:t>,0</w:t>
      </w:r>
      <w:r w:rsidR="006A45CB" w:rsidRPr="006A45CB">
        <w:rPr>
          <w:rFonts w:ascii="Calibri" w:eastAsia="Calibri" w:hAnsi="Calibri" w:cs="Calibri"/>
          <w:b/>
          <w:color w:val="000000"/>
          <w:sz w:val="21"/>
        </w:rPr>
        <w:t>2</w:t>
      </w:r>
      <w:r>
        <w:rPr>
          <w:rFonts w:ascii="Calibri" w:eastAsia="Calibri" w:hAnsi="Calibri" w:cs="Calibri"/>
          <w:color w:val="000000"/>
          <w:sz w:val="21"/>
        </w:rPr>
        <w:t xml:space="preserve"> </w:t>
      </w:r>
      <w:r>
        <w:rPr>
          <w:rFonts w:ascii="Calibri" w:eastAsia="Calibri" w:hAnsi="Calibri" w:cs="Calibri"/>
          <w:b/>
          <w:color w:val="000000"/>
          <w:sz w:val="21"/>
        </w:rPr>
        <w:t>€</w:t>
      </w:r>
      <w:r>
        <w:rPr>
          <w:rFonts w:ascii="Calibri" w:eastAsia="Calibri" w:hAnsi="Calibri" w:cs="Calibri"/>
          <w:color w:val="000000"/>
          <w:sz w:val="21"/>
        </w:rPr>
        <w:t xml:space="preserve">/mesačne. </w:t>
      </w:r>
    </w:p>
    <w:p w:rsidR="006A45CB" w:rsidRDefault="006A45CB" w:rsidP="006A45CB">
      <w:pPr>
        <w:widowControl w:val="0"/>
        <w:tabs>
          <w:tab w:val="left" w:pos="420"/>
        </w:tabs>
        <w:spacing w:after="0" w:line="280" w:lineRule="auto"/>
        <w:ind w:left="420"/>
        <w:jc w:val="both"/>
        <w:rPr>
          <w:rFonts w:ascii="Calibri" w:eastAsia="Calibri" w:hAnsi="Calibri" w:cs="Calibri"/>
          <w:color w:val="000000"/>
          <w:sz w:val="21"/>
        </w:rPr>
      </w:pPr>
      <w:r>
        <w:rPr>
          <w:rFonts w:ascii="Calibri" w:eastAsia="Calibri" w:hAnsi="Calibri" w:cs="Calibri"/>
          <w:color w:val="000000"/>
          <w:sz w:val="21"/>
        </w:rPr>
        <w:t>Z toho:</w:t>
      </w:r>
    </w:p>
    <w:p w:rsidR="006A45CB" w:rsidRDefault="006A45CB" w:rsidP="006A45CB">
      <w:pPr>
        <w:widowControl w:val="0"/>
        <w:tabs>
          <w:tab w:val="left" w:pos="420"/>
        </w:tabs>
        <w:spacing w:after="0" w:line="280" w:lineRule="auto"/>
        <w:ind w:left="420"/>
        <w:jc w:val="both"/>
        <w:rPr>
          <w:rFonts w:ascii="Calibri" w:eastAsia="Calibri" w:hAnsi="Calibri" w:cs="Calibri"/>
          <w:color w:val="000000"/>
          <w:sz w:val="21"/>
        </w:rPr>
      </w:pPr>
      <w:r w:rsidRPr="006A45CB">
        <w:rPr>
          <w:rFonts w:ascii="Calibri" w:eastAsia="Calibri" w:hAnsi="Calibri" w:cs="Calibri"/>
          <w:b/>
          <w:color w:val="000000"/>
          <w:sz w:val="21"/>
        </w:rPr>
        <w:t>Nájomné:</w:t>
      </w:r>
      <w:r>
        <w:rPr>
          <w:rFonts w:ascii="Calibri" w:eastAsia="Calibri" w:hAnsi="Calibri" w:cs="Calibri"/>
          <w:color w:val="000000"/>
          <w:sz w:val="21"/>
        </w:rPr>
        <w:t xml:space="preserve"> 119,40 €</w:t>
      </w:r>
    </w:p>
    <w:p w:rsidR="006A45CB" w:rsidRDefault="006A45CB" w:rsidP="006A45CB">
      <w:pPr>
        <w:widowControl w:val="0"/>
        <w:tabs>
          <w:tab w:val="left" w:pos="420"/>
        </w:tabs>
        <w:spacing w:after="0" w:line="280" w:lineRule="auto"/>
        <w:ind w:left="420"/>
        <w:jc w:val="both"/>
        <w:rPr>
          <w:rFonts w:ascii="Calibri" w:eastAsia="Calibri" w:hAnsi="Calibri" w:cs="Calibri"/>
          <w:color w:val="000000"/>
          <w:sz w:val="21"/>
        </w:rPr>
      </w:pPr>
      <w:r w:rsidRPr="006A45CB">
        <w:rPr>
          <w:rFonts w:ascii="Calibri" w:eastAsia="Calibri" w:hAnsi="Calibri" w:cs="Calibri"/>
          <w:b/>
          <w:color w:val="000000"/>
          <w:sz w:val="21"/>
        </w:rPr>
        <w:t>Fond opráv:</w:t>
      </w:r>
      <w:r>
        <w:rPr>
          <w:rFonts w:ascii="Calibri" w:eastAsia="Calibri" w:hAnsi="Calibri" w:cs="Calibri"/>
          <w:color w:val="000000"/>
          <w:sz w:val="21"/>
        </w:rPr>
        <w:t xml:space="preserve"> 21,62 €</w:t>
      </w:r>
    </w:p>
    <w:p w:rsidR="006A45CB" w:rsidRDefault="006A45CB" w:rsidP="006A45CB">
      <w:pPr>
        <w:widowControl w:val="0"/>
        <w:tabs>
          <w:tab w:val="left" w:pos="420"/>
        </w:tabs>
        <w:spacing w:after="0" w:line="280" w:lineRule="auto"/>
        <w:jc w:val="both"/>
        <w:rPr>
          <w:rFonts w:ascii="Calibri" w:eastAsia="Calibri" w:hAnsi="Calibri" w:cs="Calibri"/>
          <w:color w:val="000000"/>
          <w:sz w:val="21"/>
        </w:rPr>
      </w:pPr>
      <w:r>
        <w:rPr>
          <w:rFonts w:ascii="Calibri" w:eastAsia="Calibri" w:hAnsi="Calibri" w:cs="Calibri"/>
          <w:color w:val="000000"/>
          <w:sz w:val="21"/>
        </w:rPr>
        <w:tab/>
      </w:r>
      <w:r w:rsidRPr="006A45CB">
        <w:rPr>
          <w:rFonts w:ascii="Calibri" w:eastAsia="Calibri" w:hAnsi="Calibri" w:cs="Calibri"/>
          <w:b/>
          <w:color w:val="000000"/>
          <w:sz w:val="21"/>
        </w:rPr>
        <w:t>Vodné a stočné:</w:t>
      </w:r>
      <w:r w:rsidR="00897F26">
        <w:rPr>
          <w:rFonts w:ascii="Calibri" w:eastAsia="Calibri" w:hAnsi="Calibri" w:cs="Calibri"/>
          <w:color w:val="000000"/>
          <w:sz w:val="21"/>
        </w:rPr>
        <w:t xml:space="preserve"> 25</w:t>
      </w:r>
      <w:r>
        <w:rPr>
          <w:rFonts w:ascii="Calibri" w:eastAsia="Calibri" w:hAnsi="Calibri" w:cs="Calibri"/>
          <w:color w:val="000000"/>
          <w:sz w:val="21"/>
        </w:rPr>
        <w:t>€/os.</w:t>
      </w:r>
    </w:p>
    <w:p w:rsidR="006A45CB" w:rsidRDefault="006A45CB" w:rsidP="006A45CB">
      <w:pPr>
        <w:widowControl w:val="0"/>
        <w:tabs>
          <w:tab w:val="left" w:pos="420"/>
        </w:tabs>
        <w:spacing w:after="0" w:line="280" w:lineRule="auto"/>
        <w:jc w:val="both"/>
        <w:rPr>
          <w:rFonts w:ascii="Calibri" w:eastAsia="Calibri" w:hAnsi="Calibri" w:cs="Calibri"/>
          <w:color w:val="000000"/>
          <w:sz w:val="21"/>
        </w:rPr>
      </w:pPr>
      <w:r>
        <w:rPr>
          <w:rFonts w:ascii="Calibri" w:eastAsia="Calibri" w:hAnsi="Calibri" w:cs="Calibri"/>
          <w:color w:val="000000"/>
          <w:sz w:val="21"/>
        </w:rPr>
        <w:tab/>
      </w:r>
      <w:r w:rsidRPr="006A45CB">
        <w:rPr>
          <w:rFonts w:ascii="Calibri" w:eastAsia="Calibri" w:hAnsi="Calibri" w:cs="Calibri"/>
          <w:b/>
          <w:color w:val="000000"/>
          <w:sz w:val="21"/>
        </w:rPr>
        <w:t>Spoločná energia:</w:t>
      </w:r>
      <w:r w:rsidR="00897F26">
        <w:rPr>
          <w:rFonts w:ascii="Calibri" w:eastAsia="Calibri" w:hAnsi="Calibri" w:cs="Calibri"/>
          <w:color w:val="000000"/>
          <w:sz w:val="21"/>
        </w:rPr>
        <w:t xml:space="preserve"> 3</w:t>
      </w:r>
      <w:r>
        <w:rPr>
          <w:rFonts w:ascii="Calibri" w:eastAsia="Calibri" w:hAnsi="Calibri" w:cs="Calibri"/>
          <w:color w:val="000000"/>
          <w:sz w:val="21"/>
        </w:rPr>
        <w:t xml:space="preserve"> €/os.</w:t>
      </w: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je povinný uhrádzať nájomné spolu so zálohovými platbami mesačne vopred a to vždy do 15-teho dňa kalendárneho mesiaca predchádzajúceho kalendárnemu mesiacu, za ktorý sa nájomné spolu </w:t>
      </w:r>
      <w:r>
        <w:rPr>
          <w:rFonts w:ascii="Calibri" w:eastAsia="Calibri" w:hAnsi="Calibri" w:cs="Calibri"/>
          <w:sz w:val="21"/>
        </w:rPr>
        <w:lastRenderedPageBreak/>
        <w:t xml:space="preserve">so zálohovými platbami hradí, a to na bankový účet prenajímateľa, vedený v banke </w:t>
      </w:r>
      <w:r w:rsidR="00BD1C0F">
        <w:rPr>
          <w:rFonts w:ascii="Calibri" w:eastAsia="Calibri" w:hAnsi="Calibri" w:cs="Calibri"/>
          <w:b/>
          <w:sz w:val="21"/>
        </w:rPr>
        <w:t>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w:t>
      </w:r>
      <w:r w:rsidR="002430CF">
        <w:rPr>
          <w:rFonts w:ascii="Calibri" w:eastAsia="Calibri" w:hAnsi="Calibri" w:cs="Calibri"/>
          <w:sz w:val="21"/>
        </w:rPr>
        <w:t>Dunajská Streda</w:t>
      </w:r>
      <w:r>
        <w:rPr>
          <w:rFonts w:ascii="Calibri" w:eastAsia="Calibri" w:hAnsi="Calibri" w:cs="Calibri"/>
          <w:sz w:val="21"/>
        </w:rPr>
        <w:t xml:space="preserve">, </w:t>
      </w:r>
      <w:r>
        <w:rPr>
          <w:rFonts w:ascii="Calibri" w:eastAsia="Calibri" w:hAnsi="Calibri" w:cs="Calibri"/>
          <w:b/>
          <w:sz w:val="21"/>
        </w:rPr>
        <w:t xml:space="preserve">IBAN </w:t>
      </w:r>
      <w:r w:rsidR="00BD1C0F">
        <w:rPr>
          <w:rFonts w:ascii="Calibri" w:eastAsia="Calibri" w:hAnsi="Calibri" w:cs="Calibri"/>
          <w:b/>
          <w:sz w:val="21"/>
        </w:rPr>
        <w:t>SK48 5600 0000 0038 6180 9008</w:t>
      </w:r>
      <w:r w:rsidRPr="006A45CB">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 xml:space="preserve">variabilný symbol </w:t>
      </w:r>
      <w:bookmarkStart w:id="0" w:name="_GoBack"/>
      <w:bookmarkEnd w:id="0"/>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vyúčtovania. V rovnakej lehote je povinný prenajímateľ vrátiť vyúčtovaný preplatok nájomcovi.</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1318C3" w:rsidRDefault="00BD1C0F">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w:t>
      </w:r>
      <w:r w:rsidR="005C775A">
        <w:rPr>
          <w:rFonts w:ascii="Calibri" w:eastAsia="Calibri" w:hAnsi="Calibri" w:cs="Calibri"/>
          <w:sz w:val="21"/>
        </w:rPr>
        <w:t xml:space="preserve"> </w:t>
      </w:r>
      <w:r w:rsidR="00F15D79">
        <w:rPr>
          <w:rFonts w:ascii="Calibri" w:eastAsia="Calibri" w:hAnsi="Calibri" w:cs="Calibri"/>
          <w:sz w:val="21"/>
        </w:rPr>
        <w:t xml:space="preserve">zložil na účet prenajímateľa zábezpeku vo výške </w:t>
      </w:r>
      <w:r w:rsidR="005778DF">
        <w:rPr>
          <w:rFonts w:ascii="Calibri" w:eastAsia="Calibri" w:hAnsi="Calibri" w:cs="Calibri"/>
          <w:b/>
          <w:sz w:val="21"/>
        </w:rPr>
        <w:t>1.051,32</w:t>
      </w:r>
      <w:r w:rsidR="00F15D79">
        <w:rPr>
          <w:rFonts w:ascii="Calibri" w:eastAsia="Calibri" w:hAnsi="Calibri" w:cs="Calibri"/>
          <w:sz w:val="21"/>
        </w:rPr>
        <w:t xml:space="preserve">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1318C3" w:rsidRDefault="001318C3">
      <w:pPr>
        <w:widowControl w:val="0"/>
        <w:spacing w:after="0" w:line="280" w:lineRule="auto"/>
        <w:ind w:firstLine="3795"/>
        <w:rPr>
          <w:rFonts w:ascii="Calibri" w:eastAsia="Calibri" w:hAnsi="Calibri" w:cs="Calibri"/>
          <w:b/>
          <w:sz w:val="21"/>
        </w:rPr>
      </w:pP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Práva a povinnosti zmluvných strán</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1318C3" w:rsidRDefault="00F15D79">
      <w:pPr>
        <w:widowControl w:val="0"/>
        <w:numPr>
          <w:ilvl w:val="0"/>
          <w:numId w:val="5"/>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w:t>
      </w:r>
      <w:r>
        <w:rPr>
          <w:rFonts w:ascii="Calibri" w:eastAsia="Calibri" w:hAnsi="Calibri" w:cs="Calibri"/>
          <w:sz w:val="21"/>
        </w:rPr>
        <w:lastRenderedPageBreak/>
        <w:t xml:space="preserve">pričom nájomca vyhlasuje, že sa oboznámil so stavom bytu  z obhliadky na mieste samom a vyhlasuje, že byt je v stave spôsobilom na dohovorené užívanie.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nájomcom výkon ich práv,  </w:t>
      </w:r>
    </w:p>
    <w:p w:rsidR="001318C3" w:rsidRDefault="00F15D79">
      <w:pPr>
        <w:widowControl w:val="0"/>
        <w:numPr>
          <w:ilvl w:val="0"/>
          <w:numId w:val="5"/>
        </w:numPr>
        <w:tabs>
          <w:tab w:val="left" w:pos="8460"/>
        </w:tabs>
        <w:spacing w:after="0" w:line="280" w:lineRule="auto"/>
        <w:ind w:left="765" w:right="20" w:hanging="405"/>
        <w:jc w:val="both"/>
        <w:rPr>
          <w:rFonts w:ascii="Calibri" w:eastAsia="Calibri" w:hAnsi="Calibri" w:cs="Calibri"/>
          <w:sz w:val="21"/>
        </w:rPr>
      </w:pPr>
      <w:r>
        <w:rPr>
          <w:rFonts w:ascii="Calibri" w:eastAsia="Calibri" w:hAnsi="Calibri" w:cs="Calibri"/>
          <w:sz w:val="21"/>
        </w:rPr>
        <w:t>rešpektovať susedské práva a bezpečnosť, najmä:</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1318C3" w:rsidRDefault="00F15D79">
      <w:pPr>
        <w:widowControl w:val="0"/>
        <w:numPr>
          <w:ilvl w:val="0"/>
          <w:numId w:val="5"/>
        </w:numPr>
        <w:tabs>
          <w:tab w:val="left" w:pos="36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BD1C0F">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w:t>
      </w:r>
      <w:r>
        <w:rPr>
          <w:rFonts w:ascii="Calibri" w:eastAsia="Calibri" w:hAnsi="Calibri" w:cs="Calibri"/>
          <w:sz w:val="21"/>
        </w:rPr>
        <w:lastRenderedPageBreak/>
        <w:t xml:space="preserve">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Prenajímateľ nezodpovedá za majetok nájomcu nachádzajúci sa v predmete nájmu. Nájomca sa zaväzuje, že si zabezpečí poistenie vecí vnesených do predmetu nájmu vo vlastnom mene a na vlastné náklady.</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Skončenie nájmu</w:t>
      </w:r>
    </w:p>
    <w:p w:rsidR="001318C3" w:rsidRDefault="001318C3">
      <w:pPr>
        <w:widowControl w:val="0"/>
        <w:spacing w:after="0" w:line="280" w:lineRule="auto"/>
        <w:rPr>
          <w:rFonts w:ascii="Calibri" w:eastAsia="Calibri" w:hAnsi="Calibri" w:cs="Calibri"/>
          <w:b/>
          <w:sz w:val="21"/>
        </w:rPr>
      </w:pP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Výpovedná lehota je tri mesiace a začína plynúť prvým dňom nasledujúceho</w:t>
      </w:r>
      <w:r w:rsidR="005C775A">
        <w:rPr>
          <w:rFonts w:ascii="Calibri" w:eastAsia="Calibri" w:hAnsi="Calibri" w:cs="Calibri"/>
          <w:color w:val="000000"/>
          <w:sz w:val="21"/>
        </w:rPr>
        <w:t xml:space="preserve">  </w:t>
      </w:r>
      <w:r>
        <w:rPr>
          <w:rFonts w:ascii="Calibri" w:eastAsia="Calibri" w:hAnsi="Calibri" w:cs="Calibri"/>
          <w:color w:val="000000"/>
          <w:sz w:val="21"/>
        </w:rPr>
        <w:t xml:space="preserve"> kalendárneho mesiaca po jej doručení druhej zmluvnej strane.          </w:t>
      </w:r>
    </w:p>
    <w:p w:rsidR="001318C3" w:rsidRDefault="00F15D79">
      <w:pPr>
        <w:widowControl w:val="0"/>
        <w:numPr>
          <w:ilvl w:val="0"/>
          <w:numId w:val="6"/>
        </w:numPr>
        <w:tabs>
          <w:tab w:val="left" w:pos="360"/>
        </w:tabs>
        <w:spacing w:after="0" w:line="280"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1318C3" w:rsidRDefault="00F15D79">
      <w:pPr>
        <w:widowControl w:val="0"/>
        <w:numPr>
          <w:ilvl w:val="0"/>
          <w:numId w:val="6"/>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1318C3" w:rsidRDefault="00F15D79">
      <w:pPr>
        <w:widowControl w:val="0"/>
        <w:numPr>
          <w:ilvl w:val="0"/>
          <w:numId w:val="6"/>
        </w:numPr>
        <w:tabs>
          <w:tab w:val="left" w:pos="9000"/>
        </w:tabs>
        <w:spacing w:after="0" w:line="280"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1318C3" w:rsidRDefault="00F15D79">
      <w:pPr>
        <w:widowControl w:val="0"/>
        <w:numPr>
          <w:ilvl w:val="0"/>
          <w:numId w:val="6"/>
        </w:numPr>
        <w:tabs>
          <w:tab w:val="left" w:pos="900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1318C3" w:rsidRDefault="001318C3">
      <w:pPr>
        <w:widowControl w:val="0"/>
        <w:tabs>
          <w:tab w:val="left" w:pos="9000"/>
        </w:tabs>
        <w:spacing w:after="0" w:line="280" w:lineRule="auto"/>
        <w:ind w:left="360" w:right="-108"/>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Záverečné ustanovenia</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Pr>
          <w:rFonts w:ascii="Calibri" w:eastAsia="Calibri" w:hAnsi="Calibri" w:cs="Calibri"/>
          <w:sz w:val="21"/>
        </w:rPr>
        <w:t xml:space="preserve">a účinnosť dňom </w:t>
      </w:r>
      <w:r w:rsidR="00BD1C0F">
        <w:rPr>
          <w:rFonts w:ascii="Calibri" w:eastAsia="Calibri" w:hAnsi="Calibri" w:cs="Calibri"/>
          <w:sz w:val="21"/>
        </w:rPr>
        <w:t>31.12</w:t>
      </w:r>
      <w:r w:rsidR="00196600">
        <w:rPr>
          <w:rFonts w:ascii="Calibri" w:eastAsia="Calibri" w:hAnsi="Calibri" w:cs="Calibri"/>
          <w:sz w:val="21"/>
        </w:rPr>
        <w:t>.202</w:t>
      </w:r>
      <w:r w:rsidR="00F63DD5">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w:t>
      </w:r>
      <w:r>
        <w:rPr>
          <w:rFonts w:ascii="Calibri" w:eastAsia="Calibri" w:hAnsi="Calibri" w:cs="Calibri"/>
          <w:sz w:val="21"/>
        </w:rPr>
        <w:lastRenderedPageBreak/>
        <w:t xml:space="preserve">informáciám a o zmene a doplnení niektorých zákonov v znení neskorších predpisov.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Vo veciach neupravených touto zmluvou sa zmluvný vzťah spravuje príslušnými ustanoveniami Občianskeho zákonníka, zákona č. 443/2010 Z. z., všeobecne záväznými nariadením obce </w:t>
      </w:r>
      <w:r w:rsidR="00F90D65">
        <w:rPr>
          <w:rFonts w:ascii="Calibri" w:eastAsia="Calibri" w:hAnsi="Calibri" w:cs="Calibri"/>
          <w:sz w:val="21"/>
        </w:rPr>
        <w:t>Lúč na Ostrove</w:t>
      </w:r>
      <w:r>
        <w:rPr>
          <w:rFonts w:ascii="Calibri" w:eastAsia="Calibri" w:hAnsi="Calibri" w:cs="Calibri"/>
          <w:sz w:val="21"/>
        </w:rPr>
        <w:t xml:space="preserve"> č. </w:t>
      </w:r>
      <w:r w:rsidR="00BD1C0F">
        <w:rPr>
          <w:rFonts w:ascii="Calibri" w:eastAsia="Calibri" w:hAnsi="Calibri" w:cs="Calibri"/>
          <w:sz w:val="21"/>
        </w:rPr>
        <w:t>2/2021</w:t>
      </w:r>
      <w:r>
        <w:rPr>
          <w:rFonts w:ascii="Calibri" w:eastAsia="Calibri" w:hAnsi="Calibri" w:cs="Calibri"/>
          <w:sz w:val="21"/>
        </w:rPr>
        <w:t xml:space="preserve"> o podmienkach prenajímania obecných </w:t>
      </w:r>
      <w:r w:rsidR="00BD1C0F">
        <w:rPr>
          <w:rFonts w:ascii="Calibri" w:eastAsia="Calibri" w:hAnsi="Calibri" w:cs="Calibri"/>
          <w:sz w:val="21"/>
        </w:rPr>
        <w:t>nájomných bytov postavených z podporov štátu</w:t>
      </w:r>
      <w:r>
        <w:rPr>
          <w:rFonts w:ascii="Calibri" w:eastAsia="Calibri" w:hAnsi="Calibri" w:cs="Calibri"/>
          <w:sz w:val="21"/>
        </w:rPr>
        <w:t xml:space="preserve"> v obci </w:t>
      </w:r>
      <w:r w:rsidR="00F90D65">
        <w:rPr>
          <w:rFonts w:ascii="Calibri" w:eastAsia="Calibri" w:hAnsi="Calibri" w:cs="Calibri"/>
          <w:sz w:val="21"/>
        </w:rPr>
        <w:t>Lúč na Ostrove</w:t>
      </w:r>
      <w:r>
        <w:rPr>
          <w:rFonts w:ascii="Calibri" w:eastAsia="Calibri" w:hAnsi="Calibri" w:cs="Calibri"/>
          <w:b/>
          <w:sz w:val="21"/>
        </w:rPr>
        <w:t xml:space="preserve"> </w:t>
      </w:r>
      <w:r>
        <w:rPr>
          <w:rFonts w:ascii="Calibri" w:eastAsia="Calibri" w:hAnsi="Calibri" w:cs="Calibri"/>
          <w:sz w:val="21"/>
        </w:rPr>
        <w:t xml:space="preserve">(ďalej ako „VZN č. </w:t>
      </w:r>
      <w:r w:rsidR="00BD1C0F">
        <w:rPr>
          <w:rFonts w:ascii="Calibri" w:eastAsia="Calibri" w:hAnsi="Calibri" w:cs="Calibri"/>
          <w:sz w:val="21"/>
        </w:rPr>
        <w:t>2</w:t>
      </w:r>
      <w:r w:rsidR="00F90D65">
        <w:rPr>
          <w:rFonts w:ascii="Calibri" w:eastAsia="Calibri" w:hAnsi="Calibri" w:cs="Calibri"/>
          <w:sz w:val="21"/>
        </w:rPr>
        <w:t>/</w:t>
      </w:r>
      <w:r w:rsidR="00BD1C0F">
        <w:rPr>
          <w:rFonts w:ascii="Calibri" w:eastAsia="Calibri" w:hAnsi="Calibri" w:cs="Calibri"/>
          <w:sz w:val="21"/>
        </w:rPr>
        <w:t>2021</w:t>
      </w:r>
      <w:r>
        <w:rPr>
          <w:rFonts w:ascii="Calibri" w:eastAsia="Calibri" w:hAnsi="Calibri" w:cs="Calibri"/>
          <w:sz w:val="21"/>
        </w:rPr>
        <w:t xml:space="preserve">“) a ostatnými súvisiacimi platnými právnymi predpismi SR.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1318C3" w:rsidRDefault="001318C3">
      <w:pPr>
        <w:widowControl w:val="0"/>
        <w:spacing w:after="0" w:line="280" w:lineRule="auto"/>
        <w:jc w:val="both"/>
        <w:rPr>
          <w:rFonts w:ascii="Calibri" w:eastAsia="Calibri" w:hAnsi="Calibri" w:cs="Calibri"/>
          <w:sz w:val="21"/>
        </w:rPr>
      </w:pPr>
    </w:p>
    <w:p w:rsidR="005778DF" w:rsidRDefault="005778DF">
      <w:pPr>
        <w:widowControl w:val="0"/>
        <w:spacing w:after="0" w:line="280" w:lineRule="auto"/>
        <w:jc w:val="both"/>
        <w:rPr>
          <w:rFonts w:ascii="Calibri" w:eastAsia="Calibri" w:hAnsi="Calibri" w:cs="Calibri"/>
          <w:sz w:val="21"/>
        </w:rPr>
      </w:pPr>
    </w:p>
    <w:p w:rsidR="001318C3" w:rsidRDefault="005C775A">
      <w:pPr>
        <w:widowControl w:val="0"/>
        <w:spacing w:after="0" w:line="280" w:lineRule="auto"/>
        <w:jc w:val="both"/>
        <w:rPr>
          <w:rFonts w:ascii="Calibri" w:eastAsia="Calibri" w:hAnsi="Calibri" w:cs="Calibri"/>
          <w:sz w:val="21"/>
        </w:rPr>
      </w:pPr>
      <w:r>
        <w:rPr>
          <w:rFonts w:ascii="Calibri" w:eastAsia="Calibri" w:hAnsi="Calibri" w:cs="Calibri"/>
          <w:sz w:val="21"/>
        </w:rPr>
        <w:t xml:space="preserve"> V Lúči na Ostrove</w:t>
      </w:r>
      <w:r w:rsidR="00F15D79">
        <w:rPr>
          <w:rFonts w:ascii="Calibri" w:eastAsia="Calibri" w:hAnsi="Calibri" w:cs="Calibri"/>
          <w:sz w:val="21"/>
        </w:rPr>
        <w:t xml:space="preserve">, dňa: </w:t>
      </w:r>
      <w:r w:rsidR="00196600">
        <w:rPr>
          <w:rFonts w:ascii="Calibri" w:eastAsia="Calibri" w:hAnsi="Calibri" w:cs="Calibri"/>
          <w:sz w:val="21"/>
        </w:rPr>
        <w:t>31.12.202</w:t>
      </w:r>
      <w:r w:rsidR="00F63DD5">
        <w:rPr>
          <w:rFonts w:ascii="Calibri" w:eastAsia="Calibri" w:hAnsi="Calibri" w:cs="Calibri"/>
          <w:sz w:val="21"/>
        </w:rPr>
        <w:t>4</w:t>
      </w:r>
      <w:r w:rsidR="00F15D79">
        <w:rPr>
          <w:rFonts w:ascii="Calibri" w:eastAsia="Calibri" w:hAnsi="Calibri" w:cs="Calibri"/>
          <w:sz w:val="21"/>
        </w:rPr>
        <w:t xml:space="preserve">      </w:t>
      </w:r>
      <w:r w:rsidR="00F15D79">
        <w:rPr>
          <w:rFonts w:ascii="Calibri" w:eastAsia="Calibri" w:hAnsi="Calibri" w:cs="Calibri"/>
          <w:sz w:val="21"/>
        </w:rPr>
        <w:tab/>
      </w:r>
      <w:r w:rsidR="00F15D79">
        <w:rPr>
          <w:rFonts w:ascii="Calibri" w:eastAsia="Calibri" w:hAnsi="Calibri" w:cs="Calibri"/>
          <w:sz w:val="21"/>
        </w:rPr>
        <w:tab/>
        <w:t xml:space="preserve">  V</w:t>
      </w:r>
      <w:r>
        <w:rPr>
          <w:rFonts w:ascii="Calibri" w:eastAsia="Calibri" w:hAnsi="Calibri" w:cs="Calibri"/>
          <w:sz w:val="21"/>
        </w:rPr>
        <w:t xml:space="preserve"> Lúč na Ostrove, dňa: </w:t>
      </w:r>
      <w:r w:rsidR="00196600">
        <w:rPr>
          <w:rFonts w:ascii="Calibri" w:eastAsia="Calibri" w:hAnsi="Calibri" w:cs="Calibri"/>
          <w:sz w:val="21"/>
        </w:rPr>
        <w:t>31.12.202</w:t>
      </w:r>
      <w:r w:rsidR="00F63DD5">
        <w:rPr>
          <w:rFonts w:ascii="Calibri" w:eastAsia="Calibri" w:hAnsi="Calibri" w:cs="Calibri"/>
          <w:sz w:val="21"/>
        </w:rPr>
        <w:t>4</w:t>
      </w:r>
    </w:p>
    <w:p w:rsidR="001318C3" w:rsidRDefault="001318C3">
      <w:pPr>
        <w:widowControl w:val="0"/>
        <w:spacing w:after="0" w:line="280" w:lineRule="auto"/>
        <w:jc w:val="both"/>
        <w:rPr>
          <w:rFonts w:ascii="Calibri" w:eastAsia="Calibri" w:hAnsi="Calibri" w:cs="Calibri"/>
          <w:sz w:val="21"/>
        </w:rPr>
      </w:pPr>
    </w:p>
    <w:p w:rsidR="001318C3" w:rsidRDefault="005778DF">
      <w:pPr>
        <w:widowControl w:val="0"/>
        <w:spacing w:after="0" w:line="280"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     </w:t>
      </w:r>
      <w:r w:rsidR="00F15D79">
        <w:rPr>
          <w:rFonts w:ascii="Calibri" w:eastAsia="Calibri" w:hAnsi="Calibri" w:cs="Calibri"/>
          <w:sz w:val="21"/>
        </w:rPr>
        <w:t xml:space="preserve">Nájomca: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______________________________</w:t>
      </w:r>
      <w:r w:rsidR="00892274">
        <w:rPr>
          <w:rFonts w:ascii="Calibri" w:eastAsia="Calibri" w:hAnsi="Calibri" w:cs="Calibri"/>
          <w:sz w:val="21"/>
        </w:rPr>
        <w:t>__</w:t>
      </w:r>
      <w:r>
        <w:rPr>
          <w:rFonts w:ascii="Calibri" w:eastAsia="Calibri" w:hAnsi="Calibri" w:cs="Calibri"/>
          <w:sz w:val="21"/>
        </w:rPr>
        <w:t xml:space="preserve">                                                         </w:t>
      </w:r>
    </w:p>
    <w:p w:rsidR="001318C3" w:rsidRDefault="00F15D79">
      <w:pPr>
        <w:widowControl w:val="0"/>
        <w:spacing w:after="0" w:line="280" w:lineRule="auto"/>
        <w:rPr>
          <w:rFonts w:ascii="Calibri" w:eastAsia="Calibri" w:hAnsi="Calibri" w:cs="Calibri"/>
          <w:b/>
          <w:sz w:val="21"/>
        </w:rPr>
      </w:pPr>
      <w:r>
        <w:rPr>
          <w:rFonts w:ascii="Calibri" w:eastAsia="Calibri" w:hAnsi="Calibri" w:cs="Calibri"/>
          <w:sz w:val="21"/>
        </w:rPr>
        <w:t xml:space="preserve">            </w:t>
      </w:r>
      <w:r w:rsidR="005C775A">
        <w:rPr>
          <w:rFonts w:ascii="Calibri" w:eastAsia="Calibri" w:hAnsi="Calibri" w:cs="Calibri"/>
          <w:sz w:val="21"/>
        </w:rPr>
        <w:t xml:space="preserve">       </w:t>
      </w:r>
      <w:r>
        <w:rPr>
          <w:rFonts w:ascii="Calibri" w:eastAsia="Calibri" w:hAnsi="Calibri" w:cs="Calibri"/>
          <w:sz w:val="21"/>
        </w:rPr>
        <w:t xml:space="preserve"> </w:t>
      </w:r>
      <w:r w:rsidR="005C775A">
        <w:rPr>
          <w:rFonts w:ascii="Calibri" w:eastAsia="Calibri" w:hAnsi="Calibri" w:cs="Calibri"/>
          <w:b/>
          <w:sz w:val="21"/>
        </w:rPr>
        <w:t>Mgr. Ladislav Kiss</w:t>
      </w:r>
      <w:r w:rsidR="00892274">
        <w:rPr>
          <w:rFonts w:ascii="Calibri" w:eastAsia="Calibri" w:hAnsi="Calibri" w:cs="Calibri"/>
          <w:b/>
          <w:sz w:val="21"/>
        </w:rPr>
        <w:t xml:space="preserve"> </w:t>
      </w:r>
      <w:r w:rsidR="00892274">
        <w:rPr>
          <w:rFonts w:ascii="Calibri" w:eastAsia="Calibri" w:hAnsi="Calibri" w:cs="Calibri"/>
          <w:b/>
          <w:sz w:val="21"/>
        </w:rPr>
        <w:tab/>
      </w:r>
      <w:r w:rsidR="00892274">
        <w:rPr>
          <w:rFonts w:ascii="Calibri" w:eastAsia="Calibri" w:hAnsi="Calibri" w:cs="Calibri"/>
          <w:b/>
          <w:sz w:val="21"/>
        </w:rPr>
        <w:tab/>
        <w:t xml:space="preserve">              </w:t>
      </w:r>
      <w:r>
        <w:rPr>
          <w:rFonts w:ascii="Calibri" w:eastAsia="Calibri" w:hAnsi="Calibri" w:cs="Calibri"/>
          <w:b/>
          <w:sz w:val="21"/>
        </w:rPr>
        <w:t xml:space="preserve"> </w:t>
      </w:r>
      <w:proofErr w:type="spellStart"/>
      <w:r w:rsidR="00892274">
        <w:rPr>
          <w:rFonts w:ascii="Calibri" w:eastAsia="Calibri" w:hAnsi="Calibri" w:cs="Calibri"/>
          <w:b/>
          <w:sz w:val="21"/>
        </w:rPr>
        <w:t>Lóránt</w:t>
      </w:r>
      <w:proofErr w:type="spellEnd"/>
      <w:r w:rsidR="00892274">
        <w:rPr>
          <w:rFonts w:ascii="Calibri" w:eastAsia="Calibri" w:hAnsi="Calibri" w:cs="Calibri"/>
          <w:b/>
          <w:sz w:val="21"/>
        </w:rPr>
        <w:t xml:space="preserve"> </w:t>
      </w:r>
      <w:proofErr w:type="spellStart"/>
      <w:r w:rsidR="00892274">
        <w:rPr>
          <w:rFonts w:ascii="Calibri" w:eastAsia="Calibri" w:hAnsi="Calibri" w:cs="Calibri"/>
          <w:b/>
          <w:sz w:val="21"/>
        </w:rPr>
        <w:t>Androvics</w:t>
      </w:r>
      <w:proofErr w:type="spellEnd"/>
      <w:r w:rsidR="00892274">
        <w:rPr>
          <w:rFonts w:ascii="Calibri" w:eastAsia="Calibri" w:hAnsi="Calibri" w:cs="Calibri"/>
          <w:b/>
          <w:sz w:val="21"/>
        </w:rPr>
        <w:t xml:space="preserve"> a Silvia </w:t>
      </w:r>
      <w:proofErr w:type="spellStart"/>
      <w:r w:rsidR="00892274">
        <w:rPr>
          <w:rFonts w:ascii="Calibri" w:eastAsia="Calibri" w:hAnsi="Calibri" w:cs="Calibri"/>
          <w:b/>
          <w:sz w:val="21"/>
        </w:rPr>
        <w:t>Androvicsová</w:t>
      </w:r>
      <w:proofErr w:type="spellEnd"/>
    </w:p>
    <w:p w:rsidR="001318C3" w:rsidRDefault="00F15D79">
      <w:pPr>
        <w:widowControl w:val="0"/>
        <w:spacing w:after="0" w:line="280" w:lineRule="auto"/>
        <w:rPr>
          <w:rFonts w:ascii="Calibri" w:eastAsia="Calibri" w:hAnsi="Calibri" w:cs="Calibri"/>
          <w:sz w:val="24"/>
        </w:rPr>
      </w:pPr>
      <w:r>
        <w:rPr>
          <w:rFonts w:ascii="Calibri" w:eastAsia="Calibri" w:hAnsi="Calibri" w:cs="Calibri"/>
          <w:sz w:val="21"/>
        </w:rPr>
        <w:t xml:space="preserve">          starost</w:t>
      </w:r>
      <w:r w:rsidR="005C775A">
        <w:rPr>
          <w:rFonts w:ascii="Calibri" w:eastAsia="Calibri" w:hAnsi="Calibri" w:cs="Calibri"/>
          <w:sz w:val="21"/>
        </w:rPr>
        <w:t>a</w:t>
      </w:r>
      <w:r>
        <w:rPr>
          <w:rFonts w:ascii="Calibri" w:eastAsia="Calibri" w:hAnsi="Calibri" w:cs="Calibri"/>
          <w:sz w:val="21"/>
        </w:rPr>
        <w:t xml:space="preserve"> obce </w:t>
      </w:r>
      <w:r w:rsidR="005C775A">
        <w:rPr>
          <w:rFonts w:ascii="Calibri" w:eastAsia="Calibri" w:hAnsi="Calibri" w:cs="Calibri"/>
          <w:sz w:val="21"/>
        </w:rPr>
        <w:t>Lúč na Ostrove</w:t>
      </w:r>
      <w:r>
        <w:rPr>
          <w:rFonts w:ascii="Calibri" w:eastAsia="Calibri" w:hAnsi="Calibri" w:cs="Calibri"/>
          <w:sz w:val="21"/>
        </w:rPr>
        <w:t xml:space="preserve">  </w:t>
      </w:r>
    </w:p>
    <w:sectPr w:rsidR="00131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A3961"/>
    <w:multiLevelType w:val="multilevel"/>
    <w:tmpl w:val="F22C3C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9544FE"/>
    <w:multiLevelType w:val="multilevel"/>
    <w:tmpl w:val="0DACE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E179CC"/>
    <w:multiLevelType w:val="multilevel"/>
    <w:tmpl w:val="D1C63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EF7A40"/>
    <w:multiLevelType w:val="multilevel"/>
    <w:tmpl w:val="840C3D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B60CF8"/>
    <w:multiLevelType w:val="multilevel"/>
    <w:tmpl w:val="8F46E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B40953"/>
    <w:multiLevelType w:val="multilevel"/>
    <w:tmpl w:val="E2961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C3"/>
    <w:rsid w:val="0006390D"/>
    <w:rsid w:val="00071A07"/>
    <w:rsid w:val="000A4CD9"/>
    <w:rsid w:val="001318C3"/>
    <w:rsid w:val="00196600"/>
    <w:rsid w:val="001E41FB"/>
    <w:rsid w:val="002430CF"/>
    <w:rsid w:val="002C6B1C"/>
    <w:rsid w:val="002D38B1"/>
    <w:rsid w:val="0035141E"/>
    <w:rsid w:val="003812DE"/>
    <w:rsid w:val="00444A0F"/>
    <w:rsid w:val="005778DF"/>
    <w:rsid w:val="005C775A"/>
    <w:rsid w:val="006737F2"/>
    <w:rsid w:val="006A45CB"/>
    <w:rsid w:val="006F3633"/>
    <w:rsid w:val="00855E03"/>
    <w:rsid w:val="00892274"/>
    <w:rsid w:val="00897F26"/>
    <w:rsid w:val="008A7CD2"/>
    <w:rsid w:val="00A376C4"/>
    <w:rsid w:val="00B51F93"/>
    <w:rsid w:val="00BA7A51"/>
    <w:rsid w:val="00BD1C0F"/>
    <w:rsid w:val="00CA6F4C"/>
    <w:rsid w:val="00CC4487"/>
    <w:rsid w:val="00D52EFA"/>
    <w:rsid w:val="00D907B6"/>
    <w:rsid w:val="00DE5A3E"/>
    <w:rsid w:val="00F15D79"/>
    <w:rsid w:val="00F63DD5"/>
    <w:rsid w:val="00F90D65"/>
    <w:rsid w:val="00FE2E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4201"/>
  <w15:docId w15:val="{55D8BA48-C3DD-43A5-89E1-BA9FB3B4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6390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39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6</Pages>
  <Words>2486</Words>
  <Characters>14176</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LŐRINCZY Klaudia</dc:creator>
  <cp:lastModifiedBy>MÉSZÁROSOVÁ Nikoleta</cp:lastModifiedBy>
  <cp:revision>24</cp:revision>
  <cp:lastPrinted>2019-06-26T09:17:00Z</cp:lastPrinted>
  <dcterms:created xsi:type="dcterms:W3CDTF">2017-12-05T07:26:00Z</dcterms:created>
  <dcterms:modified xsi:type="dcterms:W3CDTF">2025-01-27T08:27:00Z</dcterms:modified>
</cp:coreProperties>
</file>