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BE7" w:rsidRDefault="001C0353"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AE3BE7" w:rsidRDefault="00AE3BE7" w:rsidP="00AE3BE7">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AE3BE7" w:rsidRDefault="00AE3BE7" w:rsidP="00AE3BE7">
      <w:pPr>
        <w:widowControl w:val="0"/>
        <w:spacing w:after="0" w:line="276" w:lineRule="auto"/>
        <w:ind w:left="360" w:right="340"/>
        <w:jc w:val="center"/>
        <w:rPr>
          <w:rFonts w:ascii="Calibri" w:eastAsia="Calibri" w:hAnsi="Calibri" w:cs="Calibri"/>
          <w:color w:val="000000"/>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AE3BE7" w:rsidRDefault="00AE3BE7" w:rsidP="00AE3BE7">
      <w:pPr>
        <w:widowControl w:val="0"/>
        <w:spacing w:after="0" w:line="276" w:lineRule="auto"/>
        <w:jc w:val="both"/>
        <w:rPr>
          <w:rFonts w:ascii="Calibri" w:eastAsia="Calibri" w:hAnsi="Calibri" w:cs="Calibri"/>
          <w:b/>
          <w:sz w:val="21"/>
        </w:rPr>
      </w:pPr>
    </w:p>
    <w:p w:rsidR="00AE3BE7" w:rsidRDefault="00AE3BE7" w:rsidP="00AE3BE7">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AE3BE7" w:rsidRDefault="00AE3BE7"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AE3BE7" w:rsidRDefault="00AE3BE7"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AE3BE7" w:rsidRDefault="00AE3BE7"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AE3BE7" w:rsidRDefault="00AE3BE7"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84544" w:rsidRDefault="00AE3BE7" w:rsidP="00AE3BE7">
      <w:pPr>
        <w:keepNext/>
        <w:widowControl w:val="0"/>
        <w:spacing w:after="0" w:line="276" w:lineRule="auto"/>
        <w:jc w:val="both"/>
        <w:rPr>
          <w:rFonts w:ascii="Calibri" w:eastAsia="Calibri" w:hAnsi="Calibri" w:cs="Calibri"/>
          <w:sz w:val="21"/>
        </w:rPr>
      </w:pPr>
      <w:r>
        <w:rPr>
          <w:rFonts w:ascii="Calibri" w:eastAsia="Calibri" w:hAnsi="Calibri" w:cs="Calibri"/>
          <w:sz w:val="21"/>
        </w:rPr>
        <w:t>Bankové spojenie:</w:t>
      </w:r>
      <w:r w:rsidR="001C0353">
        <w:rPr>
          <w:rFonts w:ascii="Calibri" w:eastAsia="Calibri" w:hAnsi="Calibri" w:cs="Calibri"/>
          <w:sz w:val="21"/>
        </w:rPr>
        <w:t xml:space="preserve"> </w:t>
      </w:r>
      <w:r w:rsidR="001C0353">
        <w:rPr>
          <w:rFonts w:ascii="Calibri" w:eastAsia="Calibri" w:hAnsi="Calibri" w:cs="Calibri"/>
          <w:sz w:val="21"/>
        </w:rPr>
        <w:tab/>
      </w:r>
    </w:p>
    <w:p w:rsidR="00AE3BE7" w:rsidRDefault="00AE3BE7" w:rsidP="00AE3BE7">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AE3BE7" w:rsidRDefault="00AE3BE7" w:rsidP="00AE3BE7">
      <w:pPr>
        <w:keepNext/>
        <w:widowControl w:val="0"/>
        <w:spacing w:after="0" w:line="276" w:lineRule="auto"/>
        <w:jc w:val="both"/>
        <w:rPr>
          <w:rFonts w:ascii="Calibri" w:eastAsia="Calibri" w:hAnsi="Calibri" w:cs="Calibri"/>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AE3BE7" w:rsidRDefault="00AE3BE7" w:rsidP="00AE3BE7">
      <w:pPr>
        <w:widowControl w:val="0"/>
        <w:spacing w:after="0" w:line="276" w:lineRule="auto"/>
        <w:jc w:val="center"/>
        <w:rPr>
          <w:rFonts w:ascii="Calibri" w:eastAsia="Calibri" w:hAnsi="Calibri" w:cs="Calibri"/>
          <w:b/>
          <w:sz w:val="21"/>
        </w:rPr>
      </w:pP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AE3BE7" w:rsidRDefault="00AE3BE7" w:rsidP="00AE3BE7">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r w:rsidR="00CA547B">
        <w:rPr>
          <w:rFonts w:ascii="Calibri" w:eastAsia="Calibri" w:hAnsi="Calibri" w:cs="Calibri"/>
          <w:b/>
          <w:sz w:val="21"/>
        </w:rPr>
        <w:t>Karol Križan</w:t>
      </w:r>
      <w:r>
        <w:rPr>
          <w:rFonts w:ascii="Calibri" w:eastAsia="Calibri" w:hAnsi="Calibri" w:cs="Calibri"/>
          <w:b/>
          <w:sz w:val="21"/>
        </w:rPr>
        <w:t xml:space="preserve"> </w:t>
      </w:r>
    </w:p>
    <w:p w:rsidR="00AE3BE7" w:rsidRDefault="00AE3BE7"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sidR="00CA547B">
        <w:rPr>
          <w:rFonts w:ascii="Calibri" w:eastAsia="Calibri" w:hAnsi="Calibri" w:cs="Calibri"/>
          <w:b/>
          <w:sz w:val="21"/>
        </w:rPr>
        <w:t xml:space="preserve"> </w:t>
      </w:r>
      <w:r w:rsidR="00CA547B">
        <w:rPr>
          <w:rFonts w:ascii="Calibri" w:eastAsia="Calibri" w:hAnsi="Calibri" w:cs="Calibri"/>
          <w:b/>
          <w:sz w:val="21"/>
        </w:rPr>
        <w:tab/>
      </w:r>
      <w:r w:rsidR="00CA547B">
        <w:rPr>
          <w:rFonts w:ascii="Calibri" w:eastAsia="Calibri" w:hAnsi="Calibri" w:cs="Calibri"/>
          <w:b/>
          <w:sz w:val="21"/>
        </w:rPr>
        <w:tab/>
      </w:r>
      <w:r w:rsidR="00CA547B">
        <w:rPr>
          <w:rFonts w:ascii="Calibri" w:eastAsia="Calibri" w:hAnsi="Calibri" w:cs="Calibri"/>
          <w:b/>
          <w:sz w:val="21"/>
        </w:rPr>
        <w:tab/>
      </w:r>
    </w:p>
    <w:p w:rsidR="00AE3BE7" w:rsidRDefault="00AE3BE7"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AE3BE7" w:rsidRDefault="00CA547B" w:rsidP="00AE3BE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AE3BE7" w:rsidRDefault="00AE3BE7" w:rsidP="00AE3BE7">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AE3BE7" w:rsidRDefault="00AE3BE7" w:rsidP="00AE3BE7">
      <w:pPr>
        <w:widowControl w:val="0"/>
        <w:spacing w:after="0" w:line="276" w:lineRule="auto"/>
        <w:jc w:val="both"/>
        <w:rPr>
          <w:rFonts w:ascii="Calibri" w:eastAsia="Calibri" w:hAnsi="Calibri" w:cs="Calibri"/>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AE3BE7" w:rsidRDefault="00AE3BE7" w:rsidP="00AE3BE7">
      <w:pPr>
        <w:widowControl w:val="0"/>
        <w:spacing w:after="0" w:line="276" w:lineRule="auto"/>
        <w:jc w:val="center"/>
        <w:rPr>
          <w:rFonts w:ascii="Calibri" w:eastAsia="Calibri" w:hAnsi="Calibri" w:cs="Calibri"/>
          <w:b/>
          <w:sz w:val="21"/>
        </w:rPr>
      </w:pPr>
    </w:p>
    <w:p w:rsidR="00AE3BE7" w:rsidRDefault="00AE3BE7" w:rsidP="00AE3BE7">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AE3BE7" w:rsidRDefault="00AE3BE7" w:rsidP="00AE3BE7">
      <w:pPr>
        <w:widowControl w:val="0"/>
        <w:spacing w:after="0" w:line="276" w:lineRule="auto"/>
        <w:ind w:left="360"/>
        <w:jc w:val="both"/>
        <w:rPr>
          <w:rFonts w:ascii="Calibri" w:eastAsia="Calibri" w:hAnsi="Calibri" w:cs="Calibri"/>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AE3BE7" w:rsidRDefault="00AE3BE7" w:rsidP="00AE3BE7">
      <w:pPr>
        <w:widowControl w:val="0"/>
        <w:spacing w:after="0" w:line="276" w:lineRule="auto"/>
        <w:jc w:val="both"/>
        <w:rPr>
          <w:rFonts w:ascii="Calibri" w:eastAsia="Calibri" w:hAnsi="Calibri" w:cs="Calibri"/>
          <w:b/>
          <w:sz w:val="21"/>
        </w:rPr>
      </w:pPr>
    </w:p>
    <w:p w:rsidR="00AE3BE7" w:rsidRDefault="00AE3BE7" w:rsidP="00AE3BE7">
      <w:pPr>
        <w:widowControl w:val="0"/>
        <w:tabs>
          <w:tab w:val="left" w:pos="8100"/>
          <w:tab w:val="left" w:pos="8460"/>
        </w:tabs>
        <w:spacing w:after="0" w:line="276" w:lineRule="auto"/>
        <w:ind w:right="23"/>
        <w:jc w:val="both"/>
        <w:rPr>
          <w:rFonts w:ascii="Calibri" w:eastAsia="Calibri" w:hAnsi="Calibri" w:cs="Calibri"/>
          <w:sz w:val="21"/>
        </w:rPr>
      </w:pPr>
    </w:p>
    <w:p w:rsidR="00AE3BE7" w:rsidRDefault="00AE3BE7" w:rsidP="00AE3BE7">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B7, nachádzajúci sa na poschodí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AE3BE7" w:rsidRDefault="00AE3BE7" w:rsidP="00AE3BE7">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61,29 m2. </w:t>
      </w:r>
    </w:p>
    <w:p w:rsidR="00AE3BE7" w:rsidRDefault="00AE3BE7" w:rsidP="00AE3BE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3 obytnej miestnosti a z príslušenstva, ktorým je predsieň, kúpeľňa,  WC, kuchyňa a balkón.</w:t>
      </w:r>
    </w:p>
    <w:p w:rsidR="00AE3BE7" w:rsidRDefault="00AE3BE7" w:rsidP="00AE3BE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AE3BE7" w:rsidRDefault="00AE3BE7" w:rsidP="00AE3BE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AE3BE7" w:rsidRDefault="00AE3BE7" w:rsidP="00AE3BE7">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CA547B" w:rsidRDefault="00CA547B" w:rsidP="00AE3B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 xml:space="preserve">Manželka: </w:t>
      </w:r>
      <w:proofErr w:type="spellStart"/>
      <w:r>
        <w:rPr>
          <w:rFonts w:ascii="Calibri" w:eastAsia="Calibri" w:hAnsi="Calibri" w:cs="Calibri"/>
          <w:color w:val="000000"/>
          <w:sz w:val="21"/>
        </w:rPr>
        <w:t>Anetta</w:t>
      </w:r>
      <w:proofErr w:type="spellEnd"/>
      <w:r>
        <w:rPr>
          <w:rFonts w:ascii="Calibri" w:eastAsia="Calibri" w:hAnsi="Calibri" w:cs="Calibri"/>
          <w:color w:val="000000"/>
          <w:sz w:val="21"/>
        </w:rPr>
        <w:t xml:space="preserve"> Križanová </w:t>
      </w:r>
    </w:p>
    <w:p w:rsidR="00AE3BE7" w:rsidRDefault="00CA547B" w:rsidP="00AE3B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 xml:space="preserve">Dcéra: </w:t>
      </w:r>
      <w:proofErr w:type="spellStart"/>
      <w:r>
        <w:rPr>
          <w:rFonts w:ascii="Calibri" w:eastAsia="Calibri" w:hAnsi="Calibri" w:cs="Calibri"/>
          <w:color w:val="000000"/>
          <w:sz w:val="21"/>
        </w:rPr>
        <w:t>Eszter</w:t>
      </w:r>
      <w:proofErr w:type="spellEnd"/>
      <w:r>
        <w:rPr>
          <w:rFonts w:ascii="Calibri" w:eastAsia="Calibri" w:hAnsi="Calibri" w:cs="Calibri"/>
          <w:color w:val="000000"/>
          <w:sz w:val="21"/>
        </w:rPr>
        <w:t xml:space="preserve"> Križanová</w:t>
      </w:r>
    </w:p>
    <w:p w:rsidR="00CA547B" w:rsidRDefault="00CA547B" w:rsidP="00AE3BE7">
      <w:pPr>
        <w:widowControl w:val="0"/>
        <w:tabs>
          <w:tab w:val="left" w:pos="420"/>
        </w:tabs>
        <w:spacing w:after="0" w:line="276" w:lineRule="auto"/>
        <w:ind w:left="420"/>
        <w:jc w:val="both"/>
        <w:rPr>
          <w:rFonts w:ascii="Calibri" w:eastAsia="Calibri" w:hAnsi="Calibri" w:cs="Calibri"/>
          <w:color w:val="000000"/>
          <w:sz w:val="21"/>
        </w:rPr>
      </w:pPr>
    </w:p>
    <w:p w:rsidR="00AE3BE7" w:rsidRDefault="00AE3BE7" w:rsidP="00AE3B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AE3BE7" w:rsidRDefault="00AE3BE7" w:rsidP="00AE3BE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AE3BE7" w:rsidRDefault="00AE3BE7" w:rsidP="00AE3BE7">
      <w:pPr>
        <w:widowControl w:val="0"/>
        <w:spacing w:after="0" w:line="276" w:lineRule="auto"/>
        <w:jc w:val="both"/>
        <w:rPr>
          <w:rFonts w:ascii="Calibri" w:eastAsia="Calibri" w:hAnsi="Calibri" w:cs="Calibri"/>
          <w:b/>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AE3BE7" w:rsidRDefault="00AE3BE7" w:rsidP="00AE3BE7">
      <w:pPr>
        <w:widowControl w:val="0"/>
        <w:spacing w:after="0" w:line="276" w:lineRule="auto"/>
        <w:jc w:val="both"/>
        <w:rPr>
          <w:rFonts w:ascii="Calibri" w:eastAsia="Calibri" w:hAnsi="Calibri" w:cs="Calibri"/>
          <w:b/>
          <w:sz w:val="21"/>
        </w:rPr>
      </w:pPr>
    </w:p>
    <w:p w:rsidR="00AE3BE7" w:rsidRDefault="00AE3BE7" w:rsidP="00AE3BE7">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1C0353">
        <w:rPr>
          <w:rFonts w:ascii="Calibri" w:eastAsia="Calibri" w:hAnsi="Calibri" w:cs="Calibri"/>
          <w:b/>
          <w:sz w:val="21"/>
        </w:rPr>
        <w:t>31.12</w:t>
      </w:r>
      <w:r w:rsidR="00C0157A">
        <w:rPr>
          <w:rFonts w:ascii="Calibri" w:eastAsia="Calibri" w:hAnsi="Calibri" w:cs="Calibri"/>
          <w:b/>
          <w:sz w:val="21"/>
        </w:rPr>
        <w:t>.202</w:t>
      </w:r>
      <w:r w:rsidR="00D72E8C">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2B4DB7">
        <w:rPr>
          <w:rFonts w:ascii="Calibri" w:eastAsia="Calibri" w:hAnsi="Calibri" w:cs="Calibri"/>
          <w:b/>
          <w:sz w:val="21"/>
        </w:rPr>
        <w:t>31</w:t>
      </w:r>
      <w:r w:rsidR="00C0157A">
        <w:rPr>
          <w:rFonts w:ascii="Calibri" w:eastAsia="Calibri" w:hAnsi="Calibri" w:cs="Calibri"/>
          <w:b/>
          <w:sz w:val="21"/>
        </w:rPr>
        <w:t>.12.202</w:t>
      </w:r>
      <w:r w:rsidR="00D72E8C">
        <w:rPr>
          <w:rFonts w:ascii="Calibri" w:eastAsia="Calibri" w:hAnsi="Calibri" w:cs="Calibri"/>
          <w:b/>
          <w:sz w:val="21"/>
        </w:rPr>
        <w:t>5</w:t>
      </w:r>
      <w:r>
        <w:rPr>
          <w:rFonts w:ascii="Calibri" w:eastAsia="Calibri" w:hAnsi="Calibri" w:cs="Calibri"/>
          <w:b/>
          <w:sz w:val="21"/>
        </w:rPr>
        <w:t>.</w:t>
      </w:r>
    </w:p>
    <w:p w:rsidR="00AE3BE7" w:rsidRDefault="00AE3BE7" w:rsidP="00AE3BE7">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AE3BE7" w:rsidRDefault="00AE3BE7" w:rsidP="00AE3BE7">
      <w:pPr>
        <w:widowControl w:val="0"/>
        <w:spacing w:after="0" w:line="276" w:lineRule="auto"/>
        <w:jc w:val="both"/>
        <w:rPr>
          <w:rFonts w:ascii="Calibri" w:eastAsia="Calibri" w:hAnsi="Calibri" w:cs="Calibri"/>
          <w:b/>
          <w:sz w:val="21"/>
        </w:rPr>
      </w:pPr>
    </w:p>
    <w:p w:rsidR="00AE3BE7" w:rsidRDefault="00AE3BE7" w:rsidP="00AE3BE7">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C0157A">
        <w:rPr>
          <w:rFonts w:ascii="Calibri" w:eastAsia="Calibri" w:hAnsi="Calibri" w:cs="Calibri"/>
          <w:b/>
          <w:color w:val="000000"/>
          <w:sz w:val="21"/>
        </w:rPr>
        <w:t>336,34</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F06FCC" w:rsidRDefault="00F06FCC" w:rsidP="00F06FCC">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F06FCC" w:rsidRDefault="00F06FCC" w:rsidP="00F06FC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Nájomné:</w:t>
      </w:r>
      <w:r>
        <w:rPr>
          <w:rFonts w:ascii="Calibri" w:eastAsia="Calibri" w:hAnsi="Calibri" w:cs="Calibri"/>
          <w:color w:val="000000"/>
          <w:sz w:val="21"/>
        </w:rPr>
        <w:t xml:space="preserve"> 162,58 €</w:t>
      </w:r>
    </w:p>
    <w:p w:rsidR="00F06FCC" w:rsidRDefault="00F06FCC" w:rsidP="00F06FC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Fond opráv:</w:t>
      </w:r>
      <w:r>
        <w:rPr>
          <w:rFonts w:ascii="Calibri" w:eastAsia="Calibri" w:hAnsi="Calibri" w:cs="Calibri"/>
          <w:color w:val="000000"/>
          <w:sz w:val="21"/>
        </w:rPr>
        <w:t>25,41 €</w:t>
      </w:r>
    </w:p>
    <w:p w:rsidR="00F06FCC" w:rsidRDefault="00F06FCC" w:rsidP="00F06FC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Kúrenie:</w:t>
      </w:r>
      <w:r w:rsidR="00C0157A">
        <w:rPr>
          <w:rFonts w:ascii="Calibri" w:eastAsia="Calibri" w:hAnsi="Calibri" w:cs="Calibri"/>
          <w:color w:val="000000"/>
          <w:sz w:val="21"/>
        </w:rPr>
        <w:t>64,35</w:t>
      </w:r>
      <w:r>
        <w:rPr>
          <w:rFonts w:ascii="Calibri" w:eastAsia="Calibri" w:hAnsi="Calibri" w:cs="Calibri"/>
          <w:color w:val="000000"/>
          <w:sz w:val="21"/>
        </w:rPr>
        <w:t xml:space="preserve"> €</w:t>
      </w:r>
    </w:p>
    <w:p w:rsidR="00F06FCC" w:rsidRDefault="00F06FCC" w:rsidP="00F06FC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Vodné a stočné:</w:t>
      </w:r>
      <w:r w:rsidR="00C0157A">
        <w:rPr>
          <w:rFonts w:ascii="Calibri" w:eastAsia="Calibri" w:hAnsi="Calibri" w:cs="Calibri"/>
          <w:color w:val="000000"/>
          <w:sz w:val="21"/>
        </w:rPr>
        <w:t>2</w:t>
      </w:r>
      <w:r>
        <w:rPr>
          <w:rFonts w:ascii="Calibri" w:eastAsia="Calibri" w:hAnsi="Calibri" w:cs="Calibri"/>
          <w:color w:val="000000"/>
          <w:sz w:val="21"/>
        </w:rPr>
        <w:t>5€/os.</w:t>
      </w:r>
    </w:p>
    <w:p w:rsidR="00F06FCC" w:rsidRDefault="00F06FCC" w:rsidP="00F06FCC">
      <w:pPr>
        <w:widowControl w:val="0"/>
        <w:tabs>
          <w:tab w:val="left" w:pos="420"/>
        </w:tabs>
        <w:spacing w:after="0" w:line="276" w:lineRule="auto"/>
        <w:ind w:left="420"/>
        <w:jc w:val="both"/>
        <w:rPr>
          <w:rFonts w:ascii="Calibri" w:eastAsia="Calibri" w:hAnsi="Calibri" w:cs="Calibri"/>
          <w:color w:val="000000"/>
          <w:sz w:val="21"/>
        </w:rPr>
      </w:pPr>
      <w:r w:rsidRPr="00F06FCC">
        <w:rPr>
          <w:rFonts w:ascii="Calibri" w:eastAsia="Calibri" w:hAnsi="Calibri" w:cs="Calibri"/>
          <w:b/>
          <w:color w:val="000000"/>
          <w:sz w:val="21"/>
        </w:rPr>
        <w:t>Spoločná energia:</w:t>
      </w:r>
      <w:r w:rsidR="00C0157A">
        <w:rPr>
          <w:rFonts w:ascii="Calibri" w:eastAsia="Calibri" w:hAnsi="Calibri" w:cs="Calibri"/>
          <w:color w:val="000000"/>
          <w:sz w:val="21"/>
        </w:rPr>
        <w:t>3</w:t>
      </w:r>
      <w:r>
        <w:rPr>
          <w:rFonts w:ascii="Calibri" w:eastAsia="Calibri" w:hAnsi="Calibri" w:cs="Calibri"/>
          <w:color w:val="000000"/>
          <w:sz w:val="21"/>
        </w:rPr>
        <w:t>€/os.</w:t>
      </w:r>
    </w:p>
    <w:p w:rsidR="00AE3BE7" w:rsidRDefault="00AE3BE7" w:rsidP="00AE3BE7">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AE3BE7" w:rsidRDefault="00AE3BE7" w:rsidP="00AE3BE7">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1C0353">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1C0353">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Zálohové platby sú predmetom ročného vyúčtovania podľa skutočných nákladov. Prenajímateľ je povinný vyúčtovať ich najneskôr do 31. mája za predchádzajúci rok. Nedoplatok z vyúčtovania </w:t>
      </w:r>
      <w:r>
        <w:rPr>
          <w:rFonts w:ascii="Calibri" w:eastAsia="Calibri" w:hAnsi="Calibri" w:cs="Calibri"/>
          <w:sz w:val="21"/>
        </w:rPr>
        <w:lastRenderedPageBreak/>
        <w:t>zálohových platieb je nájomca povinný uhradiť prenajímateľovi v lehote pätnásť dní od doručenia vyúčtovania. V rovnakej lehote je povinný prenajímateľ vrátiť vyúčtovaný preplatok nájomcovi.</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AE3BE7" w:rsidRDefault="001C0353" w:rsidP="00AE3BE7">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w:t>
      </w:r>
      <w:r w:rsidR="00AE3BE7">
        <w:rPr>
          <w:rFonts w:ascii="Calibri" w:eastAsia="Calibri" w:hAnsi="Calibri" w:cs="Calibri"/>
          <w:sz w:val="21"/>
        </w:rPr>
        <w:t xml:space="preserve"> zložil na účet prenajímateľa zábezpeku vo výške </w:t>
      </w:r>
      <w:r w:rsidR="00AE3BE7">
        <w:rPr>
          <w:rFonts w:ascii="Calibri" w:eastAsia="Calibri" w:hAnsi="Calibri" w:cs="Calibri"/>
          <w:b/>
          <w:sz w:val="21"/>
        </w:rPr>
        <w:t>1385,34</w:t>
      </w:r>
      <w:r w:rsidR="00AE3BE7">
        <w:rPr>
          <w:rFonts w:ascii="Calibri" w:eastAsia="Calibri" w:hAnsi="Calibri" w:cs="Calibri"/>
          <w:sz w:val="21"/>
        </w:rPr>
        <w:t xml:space="preserve">  €.</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AE3BE7" w:rsidRDefault="00AE3BE7" w:rsidP="00AE3BE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AE3BE7" w:rsidRDefault="00AE3BE7" w:rsidP="00AE3BE7">
      <w:pPr>
        <w:widowControl w:val="0"/>
        <w:spacing w:after="0" w:line="276" w:lineRule="auto"/>
        <w:ind w:firstLine="3795"/>
        <w:rPr>
          <w:rFonts w:ascii="Calibri" w:eastAsia="Calibri" w:hAnsi="Calibri" w:cs="Calibri"/>
          <w:b/>
          <w:sz w:val="21"/>
        </w:rPr>
      </w:pPr>
    </w:p>
    <w:p w:rsidR="00AE3BE7" w:rsidRDefault="00AE3BE7" w:rsidP="00AE3BE7">
      <w:pPr>
        <w:widowControl w:val="0"/>
        <w:spacing w:after="0" w:line="276" w:lineRule="auto"/>
        <w:jc w:val="center"/>
        <w:rPr>
          <w:rFonts w:ascii="Calibri" w:eastAsia="Calibri" w:hAnsi="Calibri" w:cs="Calibri"/>
          <w:b/>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AE3BE7" w:rsidRDefault="00AE3BE7" w:rsidP="00AE3BE7">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AE3BE7" w:rsidRDefault="00AE3BE7" w:rsidP="00AE3BE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AE3BE7" w:rsidRDefault="00AE3BE7" w:rsidP="00AE3BE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lastRenderedPageBreak/>
        <w:t xml:space="preserve">pri výkone svojich práv dbať, aby sa v bytovom dome vytvorilo prostredie zabezpečujúce ostatným nájomcom výkon ich práv,  </w:t>
      </w:r>
    </w:p>
    <w:p w:rsidR="00AE3BE7" w:rsidRDefault="00AE3BE7" w:rsidP="00AE3BE7">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AE3BE7" w:rsidRDefault="00AE3BE7" w:rsidP="00AE3BE7">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AE3BE7" w:rsidRDefault="00AE3BE7" w:rsidP="00AE3BE7">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AE3BE7" w:rsidRDefault="00AE3BE7" w:rsidP="00AE3BE7">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AE3BE7" w:rsidRDefault="00AE3BE7" w:rsidP="00AE3BE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AE3BE7" w:rsidRDefault="00AE3BE7" w:rsidP="00AE3BE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AE3BE7" w:rsidRDefault="00AE3BE7" w:rsidP="00AE3BE7">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AE3BE7" w:rsidRDefault="00AE3BE7" w:rsidP="00AE3BE7">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AE3BE7" w:rsidRDefault="00AE3BE7" w:rsidP="00AE3BE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AE3BE7" w:rsidRDefault="00AE3BE7" w:rsidP="00AE3BE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AE3BE7" w:rsidRDefault="00AE3BE7" w:rsidP="00AE3BE7">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1C0353">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lastRenderedPageBreak/>
        <w:t xml:space="preserve"> Prenajímateľ nezodpovedá za majetok nájomcu nachádzajúci sa v predmete nájmu. Nájomca sa zaväzuje, že si zabezpečí poistenie vecí vnesených do predmetu nájmu vo vlastnom mene a na vlastné náklady.</w:t>
      </w:r>
    </w:p>
    <w:p w:rsidR="00AE3BE7" w:rsidRDefault="00AE3BE7" w:rsidP="00AE3BE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AE3BE7" w:rsidRDefault="00AE3BE7" w:rsidP="00AE3BE7">
      <w:pPr>
        <w:widowControl w:val="0"/>
        <w:spacing w:after="0" w:line="276" w:lineRule="auto"/>
        <w:jc w:val="center"/>
        <w:rPr>
          <w:rFonts w:ascii="Calibri" w:eastAsia="Calibri" w:hAnsi="Calibri" w:cs="Calibri"/>
          <w:b/>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AE3BE7" w:rsidRDefault="00AE3BE7" w:rsidP="00AE3BE7">
      <w:pPr>
        <w:widowControl w:val="0"/>
        <w:spacing w:after="0" w:line="276" w:lineRule="auto"/>
        <w:rPr>
          <w:rFonts w:ascii="Calibri" w:eastAsia="Calibri" w:hAnsi="Calibri" w:cs="Calibri"/>
          <w:b/>
          <w:sz w:val="21"/>
        </w:rPr>
      </w:pPr>
    </w:p>
    <w:p w:rsidR="00AE3BE7" w:rsidRDefault="00AE3BE7" w:rsidP="00AE3BE7">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AE3BE7" w:rsidRDefault="00AE3BE7" w:rsidP="00AE3BE7">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AE3BE7" w:rsidRDefault="00AE3BE7" w:rsidP="00AE3BE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AE3BE7" w:rsidRDefault="00AE3BE7" w:rsidP="00AE3BE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AE3BE7" w:rsidRDefault="00AE3BE7" w:rsidP="00AE3BE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AE3BE7" w:rsidRDefault="00AE3BE7" w:rsidP="00AE3BE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AE3BE7" w:rsidRDefault="00AE3BE7" w:rsidP="00AE3BE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AE3BE7" w:rsidRDefault="00AE3BE7" w:rsidP="00AE3BE7">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AE3BE7" w:rsidRDefault="00AE3BE7" w:rsidP="00AE3BE7">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AE3BE7" w:rsidRDefault="00AE3BE7" w:rsidP="00AE3BE7">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AE3BE7" w:rsidRDefault="00AE3BE7" w:rsidP="00AE3BE7">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AE3BE7" w:rsidRDefault="00AE3BE7" w:rsidP="00AE3BE7">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AE3BE7" w:rsidRDefault="00AE3BE7" w:rsidP="00AE3BE7">
      <w:pPr>
        <w:widowControl w:val="0"/>
        <w:tabs>
          <w:tab w:val="left" w:pos="9000"/>
        </w:tabs>
        <w:spacing w:after="0" w:line="276" w:lineRule="auto"/>
        <w:ind w:left="360" w:right="-108"/>
        <w:jc w:val="both"/>
        <w:rPr>
          <w:rFonts w:ascii="Calibri" w:eastAsia="Calibri" w:hAnsi="Calibri" w:cs="Calibri"/>
          <w:sz w:val="21"/>
        </w:rPr>
      </w:pP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AE3BE7" w:rsidRDefault="00AE3BE7" w:rsidP="00AE3BE7">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AE3BE7" w:rsidRDefault="00AE3BE7" w:rsidP="00AE3BE7">
      <w:pPr>
        <w:widowControl w:val="0"/>
        <w:spacing w:after="0" w:line="276" w:lineRule="auto"/>
        <w:jc w:val="center"/>
        <w:rPr>
          <w:rFonts w:ascii="Calibri" w:eastAsia="Calibri" w:hAnsi="Calibri" w:cs="Calibri"/>
          <w:b/>
          <w:sz w:val="21"/>
        </w:rPr>
      </w:pPr>
    </w:p>
    <w:p w:rsidR="00AE3BE7" w:rsidRDefault="00AE3BE7" w:rsidP="00AE3BE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C0157A">
        <w:rPr>
          <w:rFonts w:ascii="Calibri" w:eastAsia="Calibri" w:hAnsi="Calibri" w:cs="Calibri"/>
          <w:sz w:val="21"/>
        </w:rPr>
        <w:t>a účinnosť dňom 31.12.202</w:t>
      </w:r>
      <w:r w:rsidR="00D72E8C">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AE3BE7" w:rsidRDefault="00AE3BE7" w:rsidP="00AE3BE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AE3BE7" w:rsidRDefault="00AE3BE7" w:rsidP="00AE3BE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AE3BE7" w:rsidRDefault="00AE3BE7" w:rsidP="00AE3BE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lastRenderedPageBreak/>
        <w:t>Vo veciach neupravených touto zmluvou sa zmluvný vzťah spravuje príslušnými ustanoveniami Občianskeho zákonníka, zákona č. 443/2010 Z. z., všeobecne záväznými nar</w:t>
      </w:r>
      <w:r w:rsidR="001C0353">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nájomnýc</w:t>
      </w:r>
      <w:r w:rsidR="001C0353">
        <w:rPr>
          <w:rFonts w:ascii="Calibri" w:eastAsia="Calibri" w:hAnsi="Calibri" w:cs="Calibri"/>
          <w:sz w:val="21"/>
        </w:rPr>
        <w:t>h bytov postavených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1C0353">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AE3BE7" w:rsidRDefault="00AE3BE7" w:rsidP="00AE3BE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AE3BE7" w:rsidRDefault="00AE3BE7" w:rsidP="00AE3BE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AE3BE7" w:rsidRDefault="00AE3BE7" w:rsidP="00AE3BE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AE3BE7" w:rsidRDefault="00AE3BE7" w:rsidP="00AE3BE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AE3BE7" w:rsidRDefault="00AE3BE7" w:rsidP="00AE3BE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AE3BE7" w:rsidRDefault="00AE3BE7" w:rsidP="00AE3BE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AE3BE7" w:rsidRDefault="00AE3BE7" w:rsidP="00AE3BE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AE3BE7" w:rsidRDefault="00AE3BE7" w:rsidP="00AE3BE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AE3BE7" w:rsidRDefault="00AE3BE7" w:rsidP="00AE3BE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AE3BE7" w:rsidRDefault="00AE3BE7" w:rsidP="00AE3BE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AE3BE7" w:rsidRDefault="00AE3BE7" w:rsidP="00AE3BE7">
      <w:pPr>
        <w:widowControl w:val="0"/>
        <w:spacing w:after="0" w:line="276" w:lineRule="auto"/>
        <w:jc w:val="both"/>
        <w:rPr>
          <w:rFonts w:ascii="Calibri" w:eastAsia="Calibri" w:hAnsi="Calibri" w:cs="Calibri"/>
          <w:sz w:val="21"/>
        </w:rPr>
      </w:pPr>
    </w:p>
    <w:p w:rsidR="00AE3BE7" w:rsidRDefault="00F06FCC" w:rsidP="00AE3BE7">
      <w:pPr>
        <w:widowControl w:val="0"/>
        <w:spacing w:after="0" w:line="276" w:lineRule="auto"/>
        <w:jc w:val="both"/>
        <w:rPr>
          <w:rFonts w:ascii="Calibri" w:eastAsia="Calibri" w:hAnsi="Calibri" w:cs="Calibri"/>
          <w:sz w:val="21"/>
        </w:rPr>
      </w:pPr>
      <w:r>
        <w:rPr>
          <w:rFonts w:ascii="Calibri" w:eastAsia="Calibri" w:hAnsi="Calibri" w:cs="Calibri"/>
          <w:sz w:val="21"/>
        </w:rPr>
        <w:t xml:space="preserve"> V Lúči na Ostrove, dňa: 31.12</w:t>
      </w:r>
      <w:r w:rsidR="00C0157A">
        <w:rPr>
          <w:rFonts w:ascii="Calibri" w:eastAsia="Calibri" w:hAnsi="Calibri" w:cs="Calibri"/>
          <w:sz w:val="21"/>
        </w:rPr>
        <w:t>.202</w:t>
      </w:r>
      <w:r w:rsidR="00D72E8C">
        <w:rPr>
          <w:rFonts w:ascii="Calibri" w:eastAsia="Calibri" w:hAnsi="Calibri" w:cs="Calibri"/>
          <w:sz w:val="21"/>
        </w:rPr>
        <w:t>4</w:t>
      </w:r>
      <w:r w:rsidR="00AE3BE7">
        <w:rPr>
          <w:rFonts w:ascii="Calibri" w:eastAsia="Calibri" w:hAnsi="Calibri" w:cs="Calibri"/>
          <w:sz w:val="21"/>
        </w:rPr>
        <w:t xml:space="preserve">     </w:t>
      </w:r>
      <w:r w:rsidR="00AE3BE7">
        <w:rPr>
          <w:rFonts w:ascii="Calibri" w:eastAsia="Calibri" w:hAnsi="Calibri" w:cs="Calibri"/>
          <w:sz w:val="21"/>
        </w:rPr>
        <w:tab/>
      </w:r>
      <w:r w:rsidR="00AE3BE7">
        <w:rPr>
          <w:rFonts w:ascii="Calibri" w:eastAsia="Calibri" w:hAnsi="Calibri" w:cs="Calibri"/>
          <w:sz w:val="21"/>
        </w:rPr>
        <w:tab/>
      </w:r>
      <w:r>
        <w:rPr>
          <w:rFonts w:ascii="Calibri" w:eastAsia="Calibri" w:hAnsi="Calibri" w:cs="Calibri"/>
          <w:sz w:val="21"/>
        </w:rPr>
        <w:t xml:space="preserve">  V Lúč na Ostrove, dňa: 31.12</w:t>
      </w:r>
      <w:r w:rsidR="00C0157A">
        <w:rPr>
          <w:rFonts w:ascii="Calibri" w:eastAsia="Calibri" w:hAnsi="Calibri" w:cs="Calibri"/>
          <w:sz w:val="21"/>
        </w:rPr>
        <w:t>.202</w:t>
      </w:r>
      <w:r w:rsidR="00D72E8C">
        <w:rPr>
          <w:rFonts w:ascii="Calibri" w:eastAsia="Calibri" w:hAnsi="Calibri" w:cs="Calibri"/>
          <w:sz w:val="21"/>
        </w:rPr>
        <w:t>4</w:t>
      </w:r>
    </w:p>
    <w:p w:rsidR="00AE3BE7" w:rsidRDefault="00AE3BE7" w:rsidP="00AE3BE7">
      <w:pPr>
        <w:widowControl w:val="0"/>
        <w:spacing w:after="0" w:line="276" w:lineRule="auto"/>
        <w:jc w:val="both"/>
        <w:rPr>
          <w:rFonts w:ascii="Calibri" w:eastAsia="Calibri" w:hAnsi="Calibri" w:cs="Calibri"/>
          <w:sz w:val="21"/>
        </w:rPr>
      </w:pP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AE3BE7" w:rsidRDefault="00AE3BE7" w:rsidP="00AE3BE7">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AE3BE7" w:rsidRDefault="00AE3BE7" w:rsidP="00AE3BE7">
      <w:pPr>
        <w:widowControl w:val="0"/>
        <w:spacing w:after="0" w:line="276" w:lineRule="auto"/>
        <w:jc w:val="both"/>
        <w:rPr>
          <w:rFonts w:ascii="Calibri" w:eastAsia="Calibri" w:hAnsi="Calibri" w:cs="Calibri"/>
          <w:sz w:val="21"/>
        </w:rPr>
      </w:pPr>
    </w:p>
    <w:p w:rsidR="00AE3BE7" w:rsidRDefault="00AE3BE7" w:rsidP="00AE3BE7">
      <w:pPr>
        <w:widowControl w:val="0"/>
        <w:spacing w:after="0" w:line="276" w:lineRule="auto"/>
        <w:jc w:val="both"/>
        <w:rPr>
          <w:rFonts w:ascii="Calibri" w:eastAsia="Calibri" w:hAnsi="Calibri" w:cs="Calibri"/>
          <w:sz w:val="21"/>
        </w:rPr>
      </w:pPr>
    </w:p>
    <w:p w:rsidR="00AE3BE7" w:rsidRDefault="00AE3BE7" w:rsidP="00AE3BE7">
      <w:pPr>
        <w:widowControl w:val="0"/>
        <w:spacing w:after="0" w:line="276" w:lineRule="auto"/>
        <w:jc w:val="both"/>
        <w:rPr>
          <w:rFonts w:ascii="Calibri" w:eastAsia="Calibri" w:hAnsi="Calibri" w:cs="Calibri"/>
          <w:sz w:val="21"/>
        </w:rPr>
      </w:pPr>
    </w:p>
    <w:p w:rsidR="00AE3BE7" w:rsidRDefault="00AE3BE7" w:rsidP="00AE3BE7">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AE3BE7" w:rsidRDefault="00AE3BE7" w:rsidP="00AE3BE7">
      <w:pPr>
        <w:widowControl w:val="0"/>
        <w:spacing w:after="0" w:line="276"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2B4DB7">
        <w:rPr>
          <w:rFonts w:ascii="Calibri" w:eastAsia="Calibri" w:hAnsi="Calibri" w:cs="Calibri"/>
          <w:b/>
          <w:sz w:val="21"/>
        </w:rPr>
        <w:t xml:space="preserve">          </w:t>
      </w:r>
      <w:r>
        <w:rPr>
          <w:rFonts w:ascii="Calibri" w:eastAsia="Calibri" w:hAnsi="Calibri" w:cs="Calibri"/>
          <w:b/>
          <w:sz w:val="21"/>
        </w:rPr>
        <w:t xml:space="preserve">  </w:t>
      </w:r>
      <w:r w:rsidR="002B4DB7">
        <w:rPr>
          <w:rFonts w:ascii="Calibri" w:eastAsia="Calibri" w:hAnsi="Calibri" w:cs="Calibri"/>
          <w:b/>
          <w:sz w:val="21"/>
        </w:rPr>
        <w:t>Karol Križan</w:t>
      </w:r>
    </w:p>
    <w:p w:rsidR="00AE3BE7" w:rsidRDefault="00AE3BE7" w:rsidP="00AE3BE7">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AE3BE7" w:rsidRDefault="00AE3BE7" w:rsidP="00AE3BE7"/>
    <w:p w:rsidR="00AE3BE7" w:rsidRDefault="00AE3BE7" w:rsidP="00AE3BE7"/>
    <w:p w:rsidR="00AE3BE7" w:rsidRDefault="00AE3BE7" w:rsidP="00AE3BE7"/>
    <w:p w:rsidR="00F67512" w:rsidRDefault="00F67512"/>
    <w:sectPr w:rsidR="00F67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29"/>
    <w:rsid w:val="00184544"/>
    <w:rsid w:val="001C0353"/>
    <w:rsid w:val="002B4DB7"/>
    <w:rsid w:val="009D1FE6"/>
    <w:rsid w:val="00A31D9D"/>
    <w:rsid w:val="00AE3BE7"/>
    <w:rsid w:val="00C0157A"/>
    <w:rsid w:val="00CA547B"/>
    <w:rsid w:val="00CE6A29"/>
    <w:rsid w:val="00D72E8C"/>
    <w:rsid w:val="00F06FCC"/>
    <w:rsid w:val="00F675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87FA"/>
  <w15:chartTrackingRefBased/>
  <w15:docId w15:val="{3B66CF2D-913C-4416-A331-FA375687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E3BE7"/>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B4D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4DB7"/>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7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2507</Words>
  <Characters>14295</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10</cp:revision>
  <cp:lastPrinted>2020-01-16T13:10:00Z</cp:lastPrinted>
  <dcterms:created xsi:type="dcterms:W3CDTF">2019-12-12T13:57:00Z</dcterms:created>
  <dcterms:modified xsi:type="dcterms:W3CDTF">2025-01-27T08:51:00Z</dcterms:modified>
</cp:coreProperties>
</file>